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E0999" w14:textId="735677D9" w:rsidR="001B03A2" w:rsidRDefault="001B03A2" w:rsidP="001B03A2">
      <w:pPr>
        <w:pStyle w:val="CRCoverPage"/>
        <w:tabs>
          <w:tab w:val="right" w:pos="9639"/>
        </w:tabs>
        <w:spacing w:after="0"/>
        <w:rPr>
          <w:b/>
          <w:i/>
          <w:noProof/>
          <w:sz w:val="28"/>
        </w:rPr>
      </w:pPr>
      <w:r>
        <w:rPr>
          <w:b/>
          <w:noProof/>
          <w:sz w:val="24"/>
        </w:rPr>
        <w:t>3GPP TSG-RAN WG3 Meeting #119bis-e</w:t>
      </w:r>
      <w:r>
        <w:rPr>
          <w:b/>
          <w:i/>
          <w:noProof/>
          <w:sz w:val="28"/>
        </w:rPr>
        <w:tab/>
      </w:r>
      <w:r w:rsidRPr="00587DED">
        <w:rPr>
          <w:b/>
          <w:noProof/>
          <w:sz w:val="24"/>
        </w:rPr>
        <w:t>R3-23152</w:t>
      </w:r>
      <w:r>
        <w:rPr>
          <w:b/>
          <w:noProof/>
          <w:sz w:val="24"/>
        </w:rPr>
        <w:t>6</w:t>
      </w:r>
    </w:p>
    <w:p w14:paraId="68931197" w14:textId="6D16B3FB" w:rsidR="001B03A2" w:rsidRPr="0081323E" w:rsidRDefault="001B03A2" w:rsidP="001B03A2">
      <w:pPr>
        <w:pStyle w:val="CRCoverPage"/>
        <w:outlineLvl w:val="0"/>
        <w:rPr>
          <w:b/>
          <w:noProof/>
          <w:sz w:val="24"/>
        </w:rPr>
      </w:pPr>
      <w:r>
        <w:rPr>
          <w:b/>
          <w:noProof/>
          <w:sz w:val="24"/>
        </w:rPr>
        <w:t>Online, 17 April-26 April 2023</w:t>
      </w:r>
    </w:p>
    <w:p w14:paraId="613503CA" w14:textId="77777777" w:rsidR="00E16269" w:rsidRPr="00B1063A" w:rsidRDefault="00E16269" w:rsidP="00CD4C7B">
      <w:pPr>
        <w:pStyle w:val="a3"/>
        <w:rPr>
          <w:bCs/>
          <w:noProof w:val="0"/>
          <w:sz w:val="24"/>
          <w:lang w:val="en-US"/>
        </w:rPr>
      </w:pPr>
    </w:p>
    <w:p w14:paraId="3B0EF5F6" w14:textId="2CFBF70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073043">
        <w:rPr>
          <w:rFonts w:cs="Arial"/>
          <w:b/>
          <w:bCs/>
          <w:sz w:val="24"/>
          <w:lang w:val="en-US" w:eastAsia="ja-JP"/>
        </w:rPr>
        <w:t>4</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C65C3B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A8557C">
        <w:rPr>
          <w:rFonts w:ascii="Arial" w:hAnsi="Arial" w:cs="Arial"/>
          <w:b/>
          <w:bCs/>
          <w:sz w:val="24"/>
        </w:rPr>
        <w:t>m</w:t>
      </w:r>
      <w:r w:rsidR="00800963" w:rsidRPr="00800963">
        <w:rPr>
          <w:rFonts w:ascii="Arial" w:hAnsi="Arial" w:cs="Arial"/>
          <w:b/>
          <w:bCs/>
          <w:sz w:val="24"/>
        </w:rPr>
        <w:t>itigation of interference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49DF3699" w:rsidR="00D90D48" w:rsidRPr="00E16269" w:rsidRDefault="00CD4C7B" w:rsidP="00E16269">
      <w:pPr>
        <w:pStyle w:val="1"/>
      </w:pPr>
      <w:r w:rsidRPr="006E13D1">
        <w:t>1</w:t>
      </w:r>
      <w:r w:rsidRPr="006E13D1">
        <w:tab/>
      </w:r>
      <w:r w:rsidR="0056573F">
        <w:t>Introduction</w:t>
      </w:r>
    </w:p>
    <w:p w14:paraId="7B6F581B" w14:textId="0E865695" w:rsidR="00073043" w:rsidRPr="00E16269" w:rsidRDefault="00BA14CB" w:rsidP="00BA14CB">
      <w:pPr>
        <w:rPr>
          <w:sz w:val="22"/>
        </w:rPr>
      </w:pPr>
      <w:r w:rsidRPr="00E16269">
        <w:rPr>
          <w:sz w:val="22"/>
        </w:rPr>
        <w:t xml:space="preserve">In this contribution, we’d like to discuss the </w:t>
      </w:r>
      <w:r w:rsidR="007E4F76" w:rsidRPr="00E16269">
        <w:rPr>
          <w:sz w:val="22"/>
        </w:rPr>
        <w:t>interference</w:t>
      </w:r>
      <w:r w:rsidRPr="00E16269">
        <w:rPr>
          <w:sz w:val="22"/>
        </w:rPr>
        <w:t xml:space="preserve"> </w:t>
      </w:r>
      <w:r w:rsidR="007E4F76" w:rsidRPr="00E16269">
        <w:rPr>
          <w:sz w:val="22"/>
        </w:rPr>
        <w:t xml:space="preserve">mitigation </w:t>
      </w:r>
      <w:r w:rsidRPr="00E16269">
        <w:rPr>
          <w:sz w:val="22"/>
        </w:rPr>
        <w:t>based on the RAN3</w:t>
      </w:r>
      <w:r w:rsidR="00E16269">
        <w:rPr>
          <w:sz w:val="22"/>
        </w:rPr>
        <w:t xml:space="preserve"> 117bis-e</w:t>
      </w:r>
      <w:r w:rsidRPr="00E16269">
        <w:rPr>
          <w:sz w:val="22"/>
        </w:rPr>
        <w:t xml:space="preserve"> agreements as below</w:t>
      </w:r>
      <w:r w:rsidR="00CC5CB4">
        <w:rPr>
          <w:sz w:val="22"/>
        </w:rPr>
        <w:t>, this topic hadn’t been discussed since RAN3 117bis-e meeting</w:t>
      </w:r>
      <w:bookmarkStart w:id="0" w:name="_GoBack"/>
      <w:bookmarkEnd w:id="0"/>
      <w:r w:rsidR="00E16269">
        <w:rPr>
          <w:sz w:val="22"/>
        </w:rPr>
        <w:t>.</w:t>
      </w:r>
    </w:p>
    <w:p w14:paraId="75B51EF8" w14:textId="77777777" w:rsidR="007E4F76" w:rsidRPr="00E16269" w:rsidRDefault="007E4F76" w:rsidP="007E4F76">
      <w:pPr>
        <w:widowControl w:val="0"/>
        <w:ind w:left="144" w:hanging="144"/>
        <w:rPr>
          <w:rFonts w:ascii="Calibri" w:hAnsi="Calibri" w:cs="Calibri"/>
          <w:i/>
          <w:iCs/>
          <w:color w:val="00B050"/>
          <w:kern w:val="2"/>
          <w:sz w:val="18"/>
          <w:szCs w:val="16"/>
        </w:rPr>
      </w:pPr>
      <w:r w:rsidRPr="00E16269">
        <w:rPr>
          <w:rFonts w:ascii="Calibri" w:hAnsi="Calibri" w:cs="Calibri"/>
          <w:i/>
          <w:iCs/>
          <w:color w:val="00B050"/>
          <w:kern w:val="2"/>
          <w:sz w:val="18"/>
          <w:szCs w:val="16"/>
        </w:rPr>
        <w:t>PCI Space Partitioning is performed by OAM and up to implementation.</w:t>
      </w:r>
    </w:p>
    <w:p w14:paraId="4071FF70" w14:textId="77777777" w:rsidR="007E4F76" w:rsidRPr="00E16269" w:rsidRDefault="007E4F76" w:rsidP="007E4F76">
      <w:pPr>
        <w:widowControl w:val="0"/>
        <w:ind w:left="144" w:hanging="144"/>
        <w:rPr>
          <w:rFonts w:ascii="Calibri" w:hAnsi="Calibri" w:cs="Calibri"/>
          <w:i/>
          <w:iCs/>
          <w:color w:val="00B050"/>
          <w:kern w:val="2"/>
          <w:sz w:val="18"/>
          <w:szCs w:val="16"/>
        </w:rPr>
      </w:pPr>
      <w:r w:rsidRPr="00E16269">
        <w:rPr>
          <w:rFonts w:ascii="Calibri" w:hAnsi="Calibri" w:cs="Calibri"/>
          <w:i/>
          <w:iCs/>
          <w:color w:val="00B050"/>
          <w:kern w:val="2"/>
          <w:sz w:val="18"/>
          <w:szCs w:val="16"/>
        </w:rPr>
        <w:t>As baseline, to avoid PCI collision, F1-terminating IAB-donor can reconfigure PCI for the cell of mobile IAB-DU via existing F1AP message.</w:t>
      </w:r>
    </w:p>
    <w:p w14:paraId="70614287" w14:textId="77777777" w:rsidR="007E4F76" w:rsidRPr="00E16269" w:rsidRDefault="007E4F76" w:rsidP="007E4F76">
      <w:pPr>
        <w:widowControl w:val="0"/>
        <w:ind w:left="144" w:hanging="144"/>
        <w:rPr>
          <w:rFonts w:ascii="Calibri" w:hAnsi="Calibri" w:cs="Calibri"/>
          <w:i/>
          <w:iCs/>
          <w:color w:val="00B050"/>
          <w:kern w:val="2"/>
          <w:sz w:val="18"/>
          <w:szCs w:val="16"/>
        </w:rPr>
      </w:pPr>
      <w:r w:rsidRPr="00E16269">
        <w:rPr>
          <w:rFonts w:ascii="Calibri" w:hAnsi="Calibri" w:cs="Calibri"/>
          <w:i/>
          <w:iCs/>
          <w:color w:val="00B050"/>
          <w:kern w:val="2"/>
          <w:sz w:val="18"/>
          <w:szCs w:val="16"/>
        </w:rPr>
        <w:t>PCI-change on the IAB-node can be supported via handover of connected UEs between cells using old and new PCI, respectively.</w:t>
      </w:r>
    </w:p>
    <w:p w14:paraId="5E4222E3" w14:textId="77777777" w:rsidR="007E4F76" w:rsidRPr="00E16269" w:rsidRDefault="007E4F76" w:rsidP="007E4F76">
      <w:pPr>
        <w:rPr>
          <w:rFonts w:ascii="Calibri" w:hAnsi="Calibri" w:cs="Calibri"/>
          <w:i/>
          <w:iCs/>
          <w:color w:val="00B050"/>
          <w:kern w:val="2"/>
          <w:sz w:val="18"/>
          <w:szCs w:val="16"/>
        </w:rPr>
      </w:pPr>
      <w:r w:rsidRPr="00E16269">
        <w:rPr>
          <w:rFonts w:ascii="Calibri" w:hAnsi="Calibri" w:cs="Calibri"/>
          <w:i/>
          <w:iCs/>
          <w:color w:val="00B050"/>
          <w:kern w:val="2"/>
          <w:sz w:val="18"/>
          <w:szCs w:val="16"/>
        </w:rPr>
        <w:t>PCI collision can be detected by the F1-terminating IAB-donor of the mobile IAB-node.</w:t>
      </w:r>
    </w:p>
    <w:p w14:paraId="72828FEE" w14:textId="701D47D0" w:rsidR="007E4F76" w:rsidRPr="00E16269" w:rsidRDefault="007E4F76" w:rsidP="007E4F76">
      <w:pPr>
        <w:rPr>
          <w:rFonts w:ascii="Calibri" w:eastAsia="等线" w:hAnsi="Calibri" w:cs="Calibri"/>
          <w:i/>
          <w:color w:val="FF0000"/>
          <w:sz w:val="18"/>
          <w:szCs w:val="16"/>
        </w:rPr>
      </w:pPr>
      <w:r w:rsidRPr="00E16269">
        <w:rPr>
          <w:rFonts w:ascii="Calibri" w:eastAsia="等线" w:hAnsi="Calibri" w:cs="Calibri"/>
          <w:i/>
          <w:color w:val="FF0000"/>
          <w:sz w:val="18"/>
          <w:szCs w:val="16"/>
        </w:rPr>
        <w:t>FFS for the PCI reconfiguration in case of IAB-donor and IAB-node with different OAMs.</w:t>
      </w:r>
    </w:p>
    <w:p w14:paraId="2E58F6D7" w14:textId="4399ECF0" w:rsidR="007E4F76" w:rsidRPr="00E16269" w:rsidRDefault="007E4F76" w:rsidP="007E4F76">
      <w:pPr>
        <w:rPr>
          <w:sz w:val="22"/>
        </w:rPr>
      </w:pPr>
      <w:r w:rsidRPr="00E16269">
        <w:rPr>
          <w:sz w:val="22"/>
        </w:rPr>
        <w:t>According to the previous discussion, we’d like to further discuss the following aspects:</w:t>
      </w:r>
    </w:p>
    <w:p w14:paraId="0323902D" w14:textId="3CF50992" w:rsidR="007E4F76" w:rsidRPr="00E16269" w:rsidRDefault="007E4F76" w:rsidP="007E4F76">
      <w:pPr>
        <w:pStyle w:val="a9"/>
        <w:numPr>
          <w:ilvl w:val="0"/>
          <w:numId w:val="14"/>
        </w:numPr>
        <w:spacing w:line="360" w:lineRule="auto"/>
        <w:ind w:leftChars="0" w:left="714" w:hanging="357"/>
        <w:rPr>
          <w:rFonts w:ascii="Times New Roman" w:hAnsi="Times New Roman"/>
          <w:sz w:val="22"/>
          <w:lang w:eastAsia="zh-CN"/>
        </w:rPr>
      </w:pPr>
      <w:r w:rsidRPr="00E16269">
        <w:rPr>
          <w:rFonts w:ascii="Times New Roman" w:hAnsi="Times New Roman"/>
          <w:sz w:val="22"/>
          <w:lang w:eastAsia="zh-CN"/>
        </w:rPr>
        <w:t>PCI reconfiguration if CU and IAB-node are supported by different OAMs</w:t>
      </w:r>
    </w:p>
    <w:p w14:paraId="34BE6C70" w14:textId="53E810AD" w:rsidR="007E4F76" w:rsidRPr="00E16269" w:rsidRDefault="007E4F76" w:rsidP="007E4F76">
      <w:pPr>
        <w:pStyle w:val="a9"/>
        <w:numPr>
          <w:ilvl w:val="0"/>
          <w:numId w:val="14"/>
        </w:numPr>
        <w:spacing w:line="360" w:lineRule="auto"/>
        <w:ind w:leftChars="0" w:left="714" w:hanging="357"/>
        <w:rPr>
          <w:rFonts w:ascii="Times New Roman" w:hAnsi="Times New Roman"/>
          <w:sz w:val="22"/>
          <w:lang w:eastAsia="zh-CN"/>
        </w:rPr>
      </w:pPr>
      <w:r w:rsidRPr="00E16269">
        <w:rPr>
          <w:rFonts w:ascii="Times New Roman" w:hAnsi="Times New Roman"/>
          <w:sz w:val="22"/>
          <w:lang w:eastAsia="zh-CN"/>
        </w:rPr>
        <w:t xml:space="preserve">PCI collision detection: How can the CU detect potential PCI conflicts with cells of a mobile IAB-node that moved to the </w:t>
      </w:r>
      <w:proofErr w:type="spellStart"/>
      <w:r w:rsidRPr="00E16269">
        <w:rPr>
          <w:rFonts w:ascii="Times New Roman" w:hAnsi="Times New Roman"/>
          <w:sz w:val="22"/>
          <w:lang w:eastAsia="zh-CN"/>
        </w:rPr>
        <w:t>neighbour</w:t>
      </w:r>
      <w:proofErr w:type="spellEnd"/>
      <w:r w:rsidRPr="00E16269">
        <w:rPr>
          <w:rFonts w:ascii="Times New Roman" w:hAnsi="Times New Roman"/>
          <w:sz w:val="22"/>
          <w:lang w:eastAsia="zh-CN"/>
        </w:rPr>
        <w:t xml:space="preserve"> CU?</w:t>
      </w:r>
    </w:p>
    <w:p w14:paraId="479DA40B" w14:textId="77777777" w:rsidR="00CD4C7B" w:rsidRPr="006E13D1" w:rsidRDefault="00CD4C7B" w:rsidP="00CD4C7B">
      <w:pPr>
        <w:pStyle w:val="1"/>
      </w:pPr>
      <w:r w:rsidRPr="006E13D1">
        <w:t>2</w:t>
      </w:r>
      <w:r w:rsidRPr="006E13D1">
        <w:tab/>
      </w:r>
      <w:r w:rsidR="00972FD7">
        <w:t>Discussion</w:t>
      </w:r>
    </w:p>
    <w:p w14:paraId="3536E05B" w14:textId="395CB371" w:rsidR="00A31288" w:rsidRDefault="00A31288" w:rsidP="00A31288">
      <w:pPr>
        <w:pStyle w:val="2"/>
      </w:pPr>
      <w:bookmarkStart w:id="1" w:name="_Hlk109747344"/>
      <w:r>
        <w:t>2.</w:t>
      </w:r>
      <w:r w:rsidR="00E10D86">
        <w:t>1</w:t>
      </w:r>
      <w:r>
        <w:tab/>
      </w:r>
      <w:r w:rsidR="00507FC6">
        <w:t xml:space="preserve">PCI Optimization </w:t>
      </w:r>
      <w:r w:rsidR="00FC6F99">
        <w:t>for</w:t>
      </w:r>
      <w:r w:rsidR="00507FC6">
        <w:t xml:space="preserve"> mobile IAB </w:t>
      </w:r>
    </w:p>
    <w:p w14:paraId="669FC42E" w14:textId="2C4EE1CC" w:rsidR="00FC6F99" w:rsidRPr="00703340" w:rsidRDefault="00FC6F99" w:rsidP="004E6C01">
      <w:pPr>
        <w:rPr>
          <w:b/>
          <w:sz w:val="22"/>
          <w:szCs w:val="21"/>
          <w:u w:val="single"/>
          <w:lang w:val="en-US"/>
        </w:rPr>
      </w:pPr>
      <w:r w:rsidRPr="00703340">
        <w:rPr>
          <w:b/>
          <w:sz w:val="22"/>
          <w:szCs w:val="21"/>
          <w:u w:val="single"/>
          <w:lang w:val="en-US"/>
        </w:rPr>
        <w:t>Scenarios</w:t>
      </w:r>
    </w:p>
    <w:p w14:paraId="606BDB2D" w14:textId="23DE6D92" w:rsidR="007E4F76" w:rsidRPr="00703340" w:rsidRDefault="007E4F76" w:rsidP="004E6C01">
      <w:pPr>
        <w:rPr>
          <w:sz w:val="22"/>
          <w:szCs w:val="21"/>
          <w:lang w:val="en-US"/>
        </w:rPr>
      </w:pPr>
      <w:r w:rsidRPr="00703340">
        <w:rPr>
          <w:sz w:val="22"/>
          <w:szCs w:val="21"/>
          <w:lang w:val="en-US"/>
        </w:rPr>
        <w:t xml:space="preserve">In last RAN3 meeting, the scenario that IAB-donor and IAB-node with different OAMs had been discussed, </w:t>
      </w:r>
      <w:r w:rsidR="00FC6F99" w:rsidRPr="00703340">
        <w:rPr>
          <w:sz w:val="22"/>
          <w:szCs w:val="21"/>
          <w:lang w:val="en-US"/>
        </w:rPr>
        <w:t xml:space="preserve">besides roaming scenario, multi-vendor scenario should also be considered, for one PLMN, the network </w:t>
      </w:r>
      <w:r w:rsidR="00303236" w:rsidRPr="00703340">
        <w:rPr>
          <w:sz w:val="22"/>
          <w:szCs w:val="21"/>
          <w:lang w:val="en-US"/>
        </w:rPr>
        <w:t>equipment</w:t>
      </w:r>
      <w:r w:rsidR="00FC6F99" w:rsidRPr="00703340">
        <w:rPr>
          <w:sz w:val="22"/>
          <w:szCs w:val="21"/>
          <w:lang w:val="en-US"/>
        </w:rPr>
        <w:t xml:space="preserve"> may be provided by different vendors for the same operator, it means it is very normal case that the IAB-node and IAB-donor are provided by different vendors with different OAM.</w:t>
      </w:r>
    </w:p>
    <w:p w14:paraId="55B05E38" w14:textId="1A183871" w:rsidR="00FC6F99" w:rsidRPr="00703340" w:rsidRDefault="00FC6F99" w:rsidP="004E6C01">
      <w:pPr>
        <w:rPr>
          <w:b/>
          <w:sz w:val="22"/>
          <w:szCs w:val="21"/>
          <w:lang w:val="en-US"/>
        </w:rPr>
      </w:pPr>
      <w:r w:rsidRPr="00703340">
        <w:rPr>
          <w:b/>
          <w:sz w:val="22"/>
          <w:szCs w:val="21"/>
          <w:lang w:val="en-US"/>
        </w:rPr>
        <w:t>Observation</w:t>
      </w:r>
      <w:r w:rsidR="00FC484D" w:rsidRPr="00703340">
        <w:rPr>
          <w:b/>
          <w:sz w:val="22"/>
          <w:szCs w:val="21"/>
          <w:lang w:val="en-US"/>
        </w:rPr>
        <w:t xml:space="preserve"> 1</w:t>
      </w:r>
      <w:r w:rsidRPr="00703340">
        <w:rPr>
          <w:b/>
          <w:sz w:val="22"/>
          <w:szCs w:val="21"/>
          <w:lang w:val="en-US"/>
        </w:rPr>
        <w:t xml:space="preserve">, </w:t>
      </w:r>
      <w:r w:rsidR="00FC484D" w:rsidRPr="00703340">
        <w:rPr>
          <w:b/>
          <w:sz w:val="22"/>
          <w:szCs w:val="21"/>
          <w:lang w:val="en-US"/>
        </w:rPr>
        <w:t>T</w:t>
      </w:r>
      <w:r w:rsidRPr="00703340">
        <w:rPr>
          <w:b/>
          <w:sz w:val="22"/>
          <w:szCs w:val="21"/>
          <w:lang w:val="en-US"/>
        </w:rPr>
        <w:t>he IAB-node and IAB-donor may be provided by different vendors with different OAMs</w:t>
      </w:r>
      <w:r w:rsidR="00FC484D" w:rsidRPr="00703340">
        <w:rPr>
          <w:b/>
          <w:sz w:val="22"/>
          <w:szCs w:val="21"/>
          <w:lang w:val="en-US"/>
        </w:rPr>
        <w:t xml:space="preserve"> for the same PLMN</w:t>
      </w:r>
      <w:r w:rsidRPr="00703340">
        <w:rPr>
          <w:b/>
          <w:sz w:val="22"/>
          <w:szCs w:val="21"/>
          <w:lang w:val="en-US"/>
        </w:rPr>
        <w:t>.</w:t>
      </w:r>
    </w:p>
    <w:p w14:paraId="52F1DC7C" w14:textId="29242F41" w:rsidR="00FC6F99" w:rsidRPr="00703340" w:rsidRDefault="00FC6F99" w:rsidP="004E6C01">
      <w:pPr>
        <w:rPr>
          <w:b/>
          <w:sz w:val="22"/>
          <w:szCs w:val="21"/>
          <w:lang w:val="en-US"/>
        </w:rPr>
      </w:pPr>
      <w:r w:rsidRPr="00703340">
        <w:rPr>
          <w:b/>
          <w:sz w:val="22"/>
          <w:szCs w:val="21"/>
          <w:lang w:val="en-US"/>
        </w:rPr>
        <w:t>Proposal</w:t>
      </w:r>
      <w:r w:rsidR="00FC484D" w:rsidRPr="00703340">
        <w:rPr>
          <w:b/>
          <w:sz w:val="22"/>
          <w:szCs w:val="21"/>
          <w:lang w:val="en-US"/>
        </w:rPr>
        <w:t xml:space="preserve"> 1</w:t>
      </w:r>
      <w:r w:rsidRPr="00703340">
        <w:rPr>
          <w:b/>
          <w:sz w:val="22"/>
          <w:szCs w:val="21"/>
          <w:lang w:val="en-US"/>
        </w:rPr>
        <w:t>, PCI reconfiguration in case of IAB-donor and IAB-node with different OAMs should be supported in R18.</w:t>
      </w:r>
    </w:p>
    <w:p w14:paraId="731D09B0" w14:textId="38356912" w:rsidR="00FC6F99" w:rsidRPr="00703340" w:rsidRDefault="002A0B34" w:rsidP="004E6C01">
      <w:pPr>
        <w:rPr>
          <w:b/>
          <w:sz w:val="22"/>
          <w:szCs w:val="21"/>
          <w:u w:val="single"/>
          <w:lang w:val="en-US"/>
        </w:rPr>
      </w:pPr>
      <w:r w:rsidRPr="00703340">
        <w:rPr>
          <w:b/>
          <w:sz w:val="22"/>
          <w:szCs w:val="21"/>
          <w:u w:val="single"/>
          <w:lang w:val="en-US"/>
        </w:rPr>
        <w:t xml:space="preserve">PCI reconfiguration </w:t>
      </w:r>
    </w:p>
    <w:p w14:paraId="48A341EC" w14:textId="205000A4" w:rsidR="00AC3663" w:rsidRPr="00703340" w:rsidRDefault="00E10D86" w:rsidP="004E6C01">
      <w:pPr>
        <w:rPr>
          <w:sz w:val="22"/>
          <w:lang w:val="en-US" w:eastAsia="zh-CN"/>
        </w:rPr>
      </w:pPr>
      <w:r w:rsidRPr="00703340">
        <w:rPr>
          <w:sz w:val="22"/>
          <w:szCs w:val="21"/>
          <w:lang w:val="en-US"/>
        </w:rPr>
        <w:t xml:space="preserve">As we know that existing PCI optimization function specified in TS 38. 300 and TS 38.401 assumes that </w:t>
      </w:r>
      <w:proofErr w:type="spellStart"/>
      <w:r w:rsidRPr="00703340">
        <w:rPr>
          <w:sz w:val="22"/>
          <w:szCs w:val="21"/>
          <w:lang w:val="en-US"/>
        </w:rPr>
        <w:t>gNB</w:t>
      </w:r>
      <w:proofErr w:type="spellEnd"/>
      <w:r w:rsidRPr="00703340">
        <w:rPr>
          <w:sz w:val="22"/>
          <w:szCs w:val="21"/>
          <w:lang w:val="en-US"/>
        </w:rPr>
        <w:t xml:space="preserve">-DU and </w:t>
      </w:r>
      <w:proofErr w:type="spellStart"/>
      <w:r w:rsidRPr="00703340">
        <w:rPr>
          <w:sz w:val="22"/>
          <w:szCs w:val="21"/>
          <w:lang w:val="en-US"/>
        </w:rPr>
        <w:t>gNB</w:t>
      </w:r>
      <w:proofErr w:type="spellEnd"/>
      <w:r w:rsidRPr="00703340">
        <w:rPr>
          <w:sz w:val="22"/>
          <w:szCs w:val="21"/>
          <w:lang w:val="en-US"/>
        </w:rPr>
        <w:t>-CU are provided by the same vendors and have the same OAM.</w:t>
      </w:r>
      <w:r w:rsidR="002A0B34" w:rsidRPr="00703340">
        <w:rPr>
          <w:sz w:val="22"/>
          <w:szCs w:val="21"/>
          <w:lang w:val="en-US"/>
        </w:rPr>
        <w:t xml:space="preserve"> </w:t>
      </w:r>
      <w:r w:rsidR="00AC3663" w:rsidRPr="00703340">
        <w:rPr>
          <w:sz w:val="22"/>
          <w:lang w:val="en-US" w:eastAsia="zh-CN"/>
        </w:rPr>
        <w:t xml:space="preserve">If the IAB-donor and IAB-node have the same OAM, existing mechanism is sufficient, while if the IAB-donor and IAB-node have different OAMs, e.g. </w:t>
      </w:r>
      <w:r w:rsidR="00FC6F99" w:rsidRPr="00703340">
        <w:rPr>
          <w:sz w:val="22"/>
          <w:lang w:val="en-US" w:eastAsia="zh-CN"/>
        </w:rPr>
        <w:t>inter-vendor scenario</w:t>
      </w:r>
      <w:r w:rsidR="00AC3663" w:rsidRPr="00703340">
        <w:rPr>
          <w:sz w:val="22"/>
          <w:lang w:val="en-US" w:eastAsia="zh-CN"/>
        </w:rPr>
        <w:t>, existing mechanism is not sufficient</w:t>
      </w:r>
      <w:r w:rsidRPr="00703340">
        <w:rPr>
          <w:sz w:val="22"/>
          <w:lang w:val="en-US" w:eastAsia="zh-CN"/>
        </w:rPr>
        <w:t>.</w:t>
      </w:r>
    </w:p>
    <w:p w14:paraId="2B45F852" w14:textId="7952EB82" w:rsidR="00AC3663" w:rsidRPr="00703340" w:rsidRDefault="00E10D86" w:rsidP="004E6C01">
      <w:pPr>
        <w:rPr>
          <w:sz w:val="22"/>
          <w:szCs w:val="21"/>
          <w:lang w:val="en-US"/>
        </w:rPr>
      </w:pPr>
      <w:r w:rsidRPr="00703340">
        <w:rPr>
          <w:noProof/>
          <w:sz w:val="22"/>
          <w:szCs w:val="21"/>
          <w:lang w:val="en-US"/>
        </w:rPr>
        <w:lastRenderedPageBreak/>
        <mc:AlternateContent>
          <mc:Choice Requires="wps">
            <w:drawing>
              <wp:anchor distT="45720" distB="45720" distL="114300" distR="114300" simplePos="0" relativeHeight="251659264" behindDoc="0" locked="0" layoutInCell="1" allowOverlap="1" wp14:anchorId="69A842B9" wp14:editId="137284B0">
                <wp:simplePos x="0" y="0"/>
                <wp:positionH relativeFrom="margin">
                  <wp:posOffset>0</wp:posOffset>
                </wp:positionH>
                <wp:positionV relativeFrom="paragraph">
                  <wp:posOffset>276379</wp:posOffset>
                </wp:positionV>
                <wp:extent cx="6042025" cy="1934210"/>
                <wp:effectExtent l="0" t="0" r="1587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1934210"/>
                        </a:xfrm>
                        <a:prstGeom prst="rect">
                          <a:avLst/>
                        </a:prstGeom>
                        <a:solidFill>
                          <a:srgbClr val="FFFFFF"/>
                        </a:solidFill>
                        <a:ln w="9525">
                          <a:solidFill>
                            <a:srgbClr val="000000"/>
                          </a:solidFill>
                          <a:miter lim="800000"/>
                          <a:headEnd/>
                          <a:tailEnd/>
                        </a:ln>
                      </wps:spPr>
                      <wps:txbx>
                        <w:txbxContent>
                          <w:p w14:paraId="5E58D389" w14:textId="56953865" w:rsidR="002724FC" w:rsidRPr="002C3877" w:rsidRDefault="002724FC" w:rsidP="002724FC">
                            <w:pPr>
                              <w:pStyle w:val="2"/>
                              <w:rPr>
                                <w:sz w:val="28"/>
                              </w:rPr>
                            </w:pPr>
                            <w:bookmarkStart w:id="2" w:name="_Toc98351704"/>
                            <w:bookmarkStart w:id="3" w:name="_Toc98748002"/>
                            <w:bookmarkStart w:id="4" w:name="_Toc105704388"/>
                            <w:bookmarkStart w:id="5" w:name="_Toc106108506"/>
                            <w:bookmarkStart w:id="6" w:name="_Toc107829478"/>
                            <w:r w:rsidRPr="002C3877">
                              <w:rPr>
                                <w:sz w:val="28"/>
                                <w:lang w:eastAsia="en-GB"/>
                              </w:rPr>
                              <w:t>7.8</w:t>
                            </w:r>
                            <w:r w:rsidRPr="002C3877">
                              <w:rPr>
                                <w:sz w:val="28"/>
                                <w:lang w:eastAsia="en-GB"/>
                              </w:rPr>
                              <w:tab/>
                              <w:t>PCI Optimisation Function</w:t>
                            </w:r>
                            <w:bookmarkEnd w:id="2"/>
                            <w:bookmarkEnd w:id="3"/>
                            <w:bookmarkEnd w:id="4"/>
                            <w:bookmarkEnd w:id="5"/>
                            <w:bookmarkEnd w:id="6"/>
                          </w:p>
                          <w:p w14:paraId="10B805B1" w14:textId="77777777" w:rsidR="002724FC" w:rsidRPr="002C3877" w:rsidRDefault="002724FC" w:rsidP="002724FC">
                            <w:pPr>
                              <w:rPr>
                                <w:sz w:val="18"/>
                                <w:lang w:val="en-US" w:eastAsia="zh-CN"/>
                              </w:rPr>
                            </w:pPr>
                            <w:r w:rsidRPr="002C3877">
                              <w:rPr>
                                <w:sz w:val="18"/>
                                <w:lang w:val="en-US" w:eastAsia="zh-CN"/>
                              </w:rPr>
                              <w:t>The PCI Optimization Function in non-split gNB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In split gNB architecture, the OAM configures a PCI for each NR cell to the gNB-DU.</w:t>
                            </w:r>
                          </w:p>
                          <w:p w14:paraId="005859A0" w14:textId="77777777" w:rsidR="002724FC" w:rsidRPr="002C3877" w:rsidRDefault="002724FC" w:rsidP="002724FC">
                            <w:pPr>
                              <w:rPr>
                                <w:sz w:val="18"/>
                                <w:lang w:val="en-US" w:eastAsia="zh-CN"/>
                              </w:rPr>
                            </w:pPr>
                            <w:r w:rsidRPr="002C3877">
                              <w:rPr>
                                <w:sz w:val="18"/>
                                <w:lang w:val="en-US" w:eastAsia="zh-CN"/>
                              </w:rPr>
                              <w:t>For centralized PCI assignment in split gNB architecture, the gNB-CU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For distributed PCI assignment in split gNB architecture, the OAM assigns</w:t>
                            </w:r>
                            <w:r w:rsidRPr="002C3877">
                              <w:rPr>
                                <w:rFonts w:hint="eastAsia"/>
                                <w:sz w:val="18"/>
                                <w:lang w:val="en-US" w:eastAsia="zh-CN"/>
                              </w:rPr>
                              <w:t xml:space="preserve"> </w:t>
                            </w:r>
                            <w:r w:rsidRPr="002C3877">
                              <w:rPr>
                                <w:sz w:val="18"/>
                                <w:lang w:val="en-US" w:eastAsia="zh-CN"/>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p w14:paraId="4AB05BCA" w14:textId="34C722F7" w:rsidR="002724FC" w:rsidRPr="002724FC" w:rsidRDefault="002724F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842B9" id="_x0000_t202" coordsize="21600,21600" o:spt="202" path="m,l,21600r21600,l21600,xe">
                <v:stroke joinstyle="miter"/>
                <v:path gradientshapeok="t" o:connecttype="rect"/>
              </v:shapetype>
              <v:shape id="文本框 2" o:spid="_x0000_s1026" type="#_x0000_t202" style="position:absolute;margin-left:0;margin-top:21.75pt;width:475.75pt;height:152.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">
                <v:textbox>
                  <w:txbxContent>
                    <w:p w14:paraId="5E58D389" w14:textId="56953865" w:rsidR="002724FC" w:rsidRPr="002C3877" w:rsidRDefault="002724FC" w:rsidP="002724FC">
                      <w:pPr>
                        <w:pStyle w:val="2"/>
                        <w:rPr>
                          <w:sz w:val="28"/>
                        </w:rPr>
                      </w:pPr>
                      <w:bookmarkStart w:id="7" w:name="_Toc98351704"/>
                      <w:bookmarkStart w:id="8" w:name="_Toc98748002"/>
                      <w:bookmarkStart w:id="9" w:name="_Toc105704388"/>
                      <w:bookmarkStart w:id="10" w:name="_Toc106108506"/>
                      <w:bookmarkStart w:id="11" w:name="_Toc107829478"/>
                      <w:r w:rsidRPr="002C3877">
                        <w:rPr>
                          <w:sz w:val="28"/>
                          <w:lang w:eastAsia="en-GB"/>
                        </w:rPr>
                        <w:t>7.8</w:t>
                      </w:r>
                      <w:r w:rsidRPr="002C3877">
                        <w:rPr>
                          <w:sz w:val="28"/>
                          <w:lang w:eastAsia="en-GB"/>
                        </w:rPr>
                        <w:tab/>
                        <w:t>PCI Optimisation Function</w:t>
                      </w:r>
                      <w:bookmarkEnd w:id="7"/>
                      <w:bookmarkEnd w:id="8"/>
                      <w:bookmarkEnd w:id="9"/>
                      <w:bookmarkEnd w:id="10"/>
                      <w:bookmarkEnd w:id="11"/>
                    </w:p>
                    <w:p w14:paraId="10B805B1" w14:textId="77777777" w:rsidR="002724FC" w:rsidRPr="002C3877" w:rsidRDefault="002724FC" w:rsidP="002724FC">
                      <w:pPr>
                        <w:rPr>
                          <w:sz w:val="18"/>
                          <w:lang w:val="en-US" w:eastAsia="zh-CN"/>
                        </w:rPr>
                      </w:pPr>
                      <w:r w:rsidRPr="002C3877">
                        <w:rPr>
                          <w:sz w:val="18"/>
                          <w:lang w:val="en-US" w:eastAsia="zh-CN"/>
                        </w:rPr>
                        <w:t>The PCI Optimization Function in non-split gNB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In split gNB architecture, the OAM configures a PCI for each NR cell to the gNB-DU.</w:t>
                      </w:r>
                    </w:p>
                    <w:p w14:paraId="005859A0" w14:textId="77777777" w:rsidR="002724FC" w:rsidRPr="002C3877" w:rsidRDefault="002724FC" w:rsidP="002724FC">
                      <w:pPr>
                        <w:rPr>
                          <w:sz w:val="18"/>
                          <w:lang w:val="en-US" w:eastAsia="zh-CN"/>
                        </w:rPr>
                      </w:pPr>
                      <w:r w:rsidRPr="002C3877">
                        <w:rPr>
                          <w:sz w:val="18"/>
                          <w:lang w:val="en-US" w:eastAsia="zh-CN"/>
                        </w:rPr>
                        <w:t>For centralized PCI assignment in split gNB architecture, the gNB-CU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For distributed PCI assignment in split gNB architecture, the OAM assigns</w:t>
                      </w:r>
                      <w:r w:rsidRPr="002C3877">
                        <w:rPr>
                          <w:rFonts w:hint="eastAsia"/>
                          <w:sz w:val="18"/>
                          <w:lang w:val="en-US" w:eastAsia="zh-CN"/>
                        </w:rPr>
                        <w:t xml:space="preserve"> </w:t>
                      </w:r>
                      <w:r w:rsidRPr="002C3877">
                        <w:rPr>
                          <w:sz w:val="18"/>
                          <w:lang w:val="en-US" w:eastAsia="zh-CN"/>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p w14:paraId="4AB05BCA" w14:textId="34C722F7" w:rsidR="002724FC" w:rsidRPr="002724FC" w:rsidRDefault="002724FC">
                      <w:pPr>
                        <w:rPr>
                          <w:lang w:val="en-US"/>
                        </w:rPr>
                      </w:pPr>
                    </w:p>
                  </w:txbxContent>
                </v:textbox>
                <w10:wrap type="square" anchorx="margin"/>
              </v:shape>
            </w:pict>
          </mc:Fallback>
        </mc:AlternateContent>
      </w:r>
      <w:r w:rsidRPr="00703340">
        <w:rPr>
          <w:sz w:val="22"/>
          <w:szCs w:val="21"/>
          <w:lang w:val="en-US"/>
        </w:rPr>
        <w:t xml:space="preserve">According to the PCI optimization function specified in TS 38.401[2] below, </w:t>
      </w:r>
      <w:r w:rsidRPr="00703340">
        <w:rPr>
          <w:sz w:val="22"/>
          <w:lang w:val="en-US" w:eastAsia="zh-CN"/>
        </w:rPr>
        <w:t>i</w:t>
      </w:r>
      <w:r w:rsidR="00AC3663" w:rsidRPr="00703340">
        <w:rPr>
          <w:sz w:val="22"/>
          <w:lang w:val="en-US" w:eastAsia="zh-CN"/>
        </w:rPr>
        <w:t xml:space="preserve">n case of the IAB-donor and IAB-node with different OAMs, </w:t>
      </w:r>
      <w:r w:rsidRPr="00703340">
        <w:rPr>
          <w:sz w:val="22"/>
          <w:lang w:val="en-US" w:eastAsia="zh-CN"/>
        </w:rPr>
        <w:t>we think the following enhancements over F1AP are needed.</w:t>
      </w:r>
    </w:p>
    <w:p w14:paraId="609A384F" w14:textId="07E991B2" w:rsidR="002724FC" w:rsidRPr="00703340" w:rsidRDefault="00AC3663"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For </w:t>
      </w:r>
      <w:bookmarkStart w:id="7" w:name="_Hlk127525188"/>
      <w:r w:rsidRPr="00703340">
        <w:rPr>
          <w:rFonts w:ascii="Times New Roman" w:hAnsi="Times New Roman"/>
          <w:sz w:val="22"/>
          <w:lang w:eastAsia="zh-CN"/>
        </w:rPr>
        <w:t>centralized PCI assignment</w:t>
      </w:r>
      <w:bookmarkEnd w:id="7"/>
      <w:r w:rsidRPr="00703340">
        <w:rPr>
          <w:rFonts w:ascii="Times New Roman" w:hAnsi="Times New Roman"/>
          <w:sz w:val="22"/>
          <w:lang w:eastAsia="zh-CN"/>
        </w:rPr>
        <w:t>,</w:t>
      </w:r>
      <w:r w:rsidR="002724FC" w:rsidRPr="00703340">
        <w:rPr>
          <w:rFonts w:ascii="Times New Roman" w:hAnsi="Times New Roman"/>
          <w:sz w:val="22"/>
          <w:lang w:eastAsia="zh-CN"/>
        </w:rPr>
        <w:t xml:space="preserve"> IAB-donor CU detects PCI conflict of NR cells, </w:t>
      </w:r>
      <w:r w:rsidR="002C3877" w:rsidRPr="00703340">
        <w:rPr>
          <w:rFonts w:ascii="Times New Roman" w:hAnsi="Times New Roman"/>
          <w:sz w:val="22"/>
          <w:highlight w:val="yellow"/>
          <w:lang w:eastAsia="zh-CN"/>
        </w:rPr>
        <w:t>IAB-donor</w:t>
      </w:r>
      <w:r w:rsidR="002724FC" w:rsidRPr="00703340">
        <w:rPr>
          <w:rFonts w:ascii="Times New Roman" w:hAnsi="Times New Roman"/>
          <w:sz w:val="22"/>
          <w:highlight w:val="yellow"/>
          <w:lang w:eastAsia="zh-CN"/>
        </w:rPr>
        <w:t xml:space="preserve"> should notify the IAB-node</w:t>
      </w:r>
      <w:r w:rsidR="002A0B34" w:rsidRPr="00703340">
        <w:rPr>
          <w:rFonts w:ascii="Times New Roman" w:hAnsi="Times New Roman"/>
          <w:sz w:val="22"/>
          <w:highlight w:val="yellow"/>
          <w:lang w:eastAsia="zh-CN"/>
        </w:rPr>
        <w:t xml:space="preserve"> that the PCI conflict is detected</w:t>
      </w:r>
      <w:r w:rsidR="002724FC" w:rsidRPr="00703340">
        <w:rPr>
          <w:rFonts w:ascii="Times New Roman" w:hAnsi="Times New Roman"/>
          <w:sz w:val="22"/>
          <w:highlight w:val="yellow"/>
          <w:lang w:eastAsia="zh-CN"/>
        </w:rPr>
        <w:t>,</w:t>
      </w:r>
      <w:r w:rsidR="002724FC" w:rsidRPr="00703340">
        <w:rPr>
          <w:rFonts w:ascii="Times New Roman" w:hAnsi="Times New Roman"/>
          <w:sz w:val="22"/>
          <w:lang w:eastAsia="zh-CN"/>
        </w:rPr>
        <w:t xml:space="preserve"> and then the IAB-node that have connection with OAM can reports the PCI conflict to OAM. </w:t>
      </w:r>
      <w:r w:rsidR="002C3877" w:rsidRPr="00703340">
        <w:rPr>
          <w:rFonts w:ascii="Times New Roman" w:hAnsi="Times New Roman"/>
          <w:sz w:val="22"/>
          <w:lang w:eastAsia="zh-CN"/>
        </w:rPr>
        <w:t>After that,</w:t>
      </w:r>
      <w:r w:rsidR="002724FC" w:rsidRPr="00703340">
        <w:rPr>
          <w:rFonts w:ascii="Times New Roman" w:hAnsi="Times New Roman"/>
          <w:sz w:val="22"/>
          <w:lang w:eastAsia="zh-CN"/>
        </w:rPr>
        <w:t xml:space="preserve"> the OAM can </w:t>
      </w:r>
      <w:r w:rsidR="002C3877" w:rsidRPr="00703340">
        <w:rPr>
          <w:rFonts w:ascii="Times New Roman" w:hAnsi="Times New Roman"/>
          <w:sz w:val="22"/>
          <w:lang w:eastAsia="zh-CN"/>
        </w:rPr>
        <w:t>reassign</w:t>
      </w:r>
      <w:r w:rsidRPr="00703340">
        <w:rPr>
          <w:rFonts w:ascii="Times New Roman" w:hAnsi="Times New Roman"/>
          <w:sz w:val="22"/>
          <w:lang w:eastAsia="zh-CN"/>
        </w:rPr>
        <w:t xml:space="preserve"> new PCI for the cells in the IAB-node to avoid PCI conflict.</w:t>
      </w:r>
      <w:r w:rsidR="00E13EB0" w:rsidRPr="00703340">
        <w:rPr>
          <w:rFonts w:ascii="Times New Roman" w:hAnsi="Times New Roman"/>
          <w:sz w:val="22"/>
          <w:lang w:eastAsia="zh-CN"/>
        </w:rPr>
        <w:t xml:space="preserve"> The possible </w:t>
      </w:r>
      <w:proofErr w:type="spellStart"/>
      <w:r w:rsidR="00E13EB0" w:rsidRPr="00703340">
        <w:rPr>
          <w:rFonts w:ascii="Times New Roman" w:hAnsi="Times New Roman"/>
          <w:sz w:val="22"/>
          <w:lang w:eastAsia="zh-CN"/>
        </w:rPr>
        <w:t>signalling</w:t>
      </w:r>
      <w:proofErr w:type="spellEnd"/>
      <w:r w:rsidR="00E13EB0" w:rsidRPr="00703340">
        <w:rPr>
          <w:rFonts w:ascii="Times New Roman" w:hAnsi="Times New Roman"/>
          <w:sz w:val="22"/>
          <w:lang w:eastAsia="zh-CN"/>
        </w:rPr>
        <w:t xml:space="preserve"> flows are shown in Figure 1</w:t>
      </w:r>
    </w:p>
    <w:p w14:paraId="58C8BDFD" w14:textId="77777777" w:rsidR="00E13EB0" w:rsidRDefault="00E13EB0" w:rsidP="00E13EB0">
      <w:pPr>
        <w:pStyle w:val="a9"/>
        <w:keepNext/>
        <w:spacing w:line="360" w:lineRule="auto"/>
        <w:ind w:leftChars="0" w:left="714"/>
        <w:jc w:val="center"/>
      </w:pPr>
      <w:r>
        <w:object w:dxaOrig="10341" w:dyaOrig="5301" w14:anchorId="2E43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95pt;height:201.95pt" o:ole="">
            <v:imagedata r:id="rId8" o:title=""/>
          </v:shape>
          <o:OLEObject Type="Embed" ProgID="Visio.Drawing.15" ShapeID="_x0000_i1025" DrawAspect="Content" ObjectID="_1742386408" r:id="rId9"/>
        </w:object>
      </w:r>
    </w:p>
    <w:p w14:paraId="26871B74" w14:textId="06718B7D" w:rsidR="00E13EB0" w:rsidRPr="002A0B34" w:rsidRDefault="00E13EB0" w:rsidP="00E13EB0">
      <w:pPr>
        <w:pStyle w:val="ab"/>
        <w:jc w:val="center"/>
        <w:rPr>
          <w:sz w:val="20"/>
          <w:lang w:eastAsia="zh-CN"/>
        </w:rPr>
      </w:pPr>
      <w:r>
        <w:t xml:space="preserve">Figure </w:t>
      </w:r>
      <w:r>
        <w:fldChar w:fldCharType="begin"/>
      </w:r>
      <w:r>
        <w:instrText xml:space="preserve"> SEQ Figure \* ARABIC </w:instrText>
      </w:r>
      <w:r>
        <w:fldChar w:fldCharType="separate"/>
      </w:r>
      <w:r w:rsidR="0030392F">
        <w:rPr>
          <w:noProof/>
        </w:rPr>
        <w:t>1</w:t>
      </w:r>
      <w:r>
        <w:fldChar w:fldCharType="end"/>
      </w:r>
      <w:r w:rsidR="0030392F" w:rsidRPr="0030392F">
        <w:t xml:space="preserve"> centralized PCI assignment</w:t>
      </w:r>
    </w:p>
    <w:p w14:paraId="1F3E594B" w14:textId="23224AB2" w:rsidR="00AC3663" w:rsidRPr="00703340" w:rsidRDefault="00AC3663"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For distributed PCI assignment, OAM assigns a list of PCIs for the cells and send the configured PCI list to the IAB-node, </w:t>
      </w:r>
      <w:r w:rsidRPr="00703340">
        <w:rPr>
          <w:rFonts w:ascii="Times New Roman" w:hAnsi="Times New Roman"/>
          <w:sz w:val="22"/>
          <w:highlight w:val="yellow"/>
          <w:lang w:eastAsia="zh-CN"/>
        </w:rPr>
        <w:t>if the IAB-donor detects PCI conflict, either IAB-donor or IAB-node can be responsible for selecting a new PCI value from the preconfigured PCI list</w:t>
      </w:r>
      <w:r w:rsidR="00507FC6" w:rsidRPr="00703340">
        <w:rPr>
          <w:rFonts w:ascii="Times New Roman" w:hAnsi="Times New Roman"/>
          <w:sz w:val="22"/>
          <w:lang w:eastAsia="zh-CN"/>
        </w:rPr>
        <w:t>.</w:t>
      </w:r>
      <w:r w:rsidR="0030392F" w:rsidRPr="00703340">
        <w:rPr>
          <w:rFonts w:ascii="Times New Roman" w:hAnsi="Times New Roman"/>
          <w:sz w:val="22"/>
          <w:lang w:eastAsia="zh-CN"/>
        </w:rPr>
        <w:t xml:space="preserve"> The possible </w:t>
      </w:r>
      <w:proofErr w:type="spellStart"/>
      <w:r w:rsidR="0030392F" w:rsidRPr="00703340">
        <w:rPr>
          <w:rFonts w:ascii="Times New Roman" w:hAnsi="Times New Roman"/>
          <w:sz w:val="22"/>
          <w:lang w:eastAsia="zh-CN"/>
        </w:rPr>
        <w:t>signalling</w:t>
      </w:r>
      <w:proofErr w:type="spellEnd"/>
      <w:r w:rsidR="0030392F" w:rsidRPr="00703340">
        <w:rPr>
          <w:rFonts w:ascii="Times New Roman" w:hAnsi="Times New Roman"/>
          <w:sz w:val="22"/>
          <w:lang w:eastAsia="zh-CN"/>
        </w:rPr>
        <w:t xml:space="preserve"> flows are shown in Figure 2.</w:t>
      </w:r>
    </w:p>
    <w:p w14:paraId="1F18247E" w14:textId="77777777" w:rsidR="0030392F" w:rsidRDefault="0030392F" w:rsidP="0030392F">
      <w:pPr>
        <w:pStyle w:val="a9"/>
        <w:keepNext/>
        <w:spacing w:line="360" w:lineRule="auto"/>
        <w:ind w:leftChars="0" w:left="714"/>
        <w:jc w:val="center"/>
      </w:pPr>
      <w:r>
        <w:object w:dxaOrig="10341" w:dyaOrig="5301" w14:anchorId="771CDE8A">
          <v:shape id="_x0000_i1026" type="#_x0000_t75" style="width:405.9pt;height:208.6pt" o:ole="">
            <v:imagedata r:id="rId10" o:title=""/>
          </v:shape>
          <o:OLEObject Type="Embed" ProgID="Visio.Drawing.15" ShapeID="_x0000_i1026" DrawAspect="Content" ObjectID="_1742386409" r:id="rId11"/>
        </w:object>
      </w:r>
    </w:p>
    <w:p w14:paraId="759851B9" w14:textId="178C2DB8" w:rsidR="0030392F" w:rsidRPr="002A0B34" w:rsidRDefault="0030392F" w:rsidP="0030392F">
      <w:pPr>
        <w:pStyle w:val="ab"/>
        <w:jc w:val="center"/>
        <w:rPr>
          <w:sz w:val="20"/>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3506E">
        <w:t>distributed PCI assignment</w:t>
      </w:r>
    </w:p>
    <w:p w14:paraId="2770773B" w14:textId="2EEDD15A" w:rsidR="002A0B34" w:rsidRPr="00703340" w:rsidRDefault="002A0B34" w:rsidP="004E6C01">
      <w:pPr>
        <w:rPr>
          <w:sz w:val="22"/>
          <w:szCs w:val="21"/>
          <w:lang w:val="en-US"/>
        </w:rPr>
      </w:pPr>
      <w:r w:rsidRPr="00703340">
        <w:rPr>
          <w:sz w:val="22"/>
          <w:szCs w:val="21"/>
          <w:lang w:val="en-US"/>
        </w:rPr>
        <w:t>Based on the above analysis, we think there’re two options to decide PCI reconfiguration</w:t>
      </w:r>
    </w:p>
    <w:p w14:paraId="74853273" w14:textId="6A9060DB" w:rsidR="002A0B34" w:rsidRPr="00703340" w:rsidRDefault="002A0B34"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For </w:t>
      </w:r>
      <w:r w:rsidR="00A40F9F" w:rsidRPr="00703340">
        <w:rPr>
          <w:rFonts w:ascii="Times New Roman" w:hAnsi="Times New Roman"/>
          <w:sz w:val="22"/>
          <w:lang w:eastAsia="zh-CN"/>
        </w:rPr>
        <w:t>centralized PCI reconfiguration, it is the mobile IAB-node (or it’s OAM) to assign the new PCI.</w:t>
      </w:r>
    </w:p>
    <w:p w14:paraId="18D0F831" w14:textId="0F636D43" w:rsidR="00A40F9F" w:rsidRPr="00703340" w:rsidRDefault="00A40F9F"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For distributed PCI reconfiguration, it is the mobile IAB node (or it’s OAM) or IAB-donor of mobile IAB-DU to assign the new PCI.</w:t>
      </w:r>
    </w:p>
    <w:p w14:paraId="55954D2E" w14:textId="598D7465" w:rsidR="00A40F9F" w:rsidRPr="00703340" w:rsidRDefault="004F02D5" w:rsidP="00A40F9F">
      <w:pPr>
        <w:rPr>
          <w:sz w:val="22"/>
          <w:lang w:eastAsia="zh-CN"/>
        </w:rPr>
      </w:pPr>
      <w:r w:rsidRPr="00703340">
        <w:rPr>
          <w:sz w:val="22"/>
          <w:szCs w:val="21"/>
        </w:rPr>
        <w:t xml:space="preserve">If it’s </w:t>
      </w:r>
      <w:r w:rsidRPr="00703340">
        <w:rPr>
          <w:sz w:val="22"/>
          <w:lang w:eastAsia="zh-CN"/>
        </w:rPr>
        <w:t>the mobile IAB node (or it’s OAM) to assign the new PCI, we think the following information can be transferred from IAB-donor of mobile IAB-DU to the mobile IAB-node</w:t>
      </w:r>
    </w:p>
    <w:p w14:paraId="56575C8D" w14:textId="17587DD5" w:rsidR="004F02D5" w:rsidRPr="00703340" w:rsidRDefault="004F02D5" w:rsidP="004F02D5">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The PCI collision detection indication, it can be used to trigger the re-assignment of PCI</w:t>
      </w:r>
    </w:p>
    <w:p w14:paraId="22B73DE8" w14:textId="71DA14A8" w:rsidR="004F02D5" w:rsidRPr="00703340" w:rsidRDefault="004F02D5" w:rsidP="004F02D5">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The PCI configuration of the neighbours, knowing the neighbour information can be helpful to configure the new PCI resource to avoid interference, since the interferences are from the neighbour</w:t>
      </w:r>
    </w:p>
    <w:p w14:paraId="07D7C362" w14:textId="47167F31" w:rsidR="004F02D5" w:rsidRPr="00703340" w:rsidRDefault="004F02D5" w:rsidP="004F02D5">
      <w:pPr>
        <w:rPr>
          <w:sz w:val="22"/>
          <w:lang w:eastAsia="zh-CN"/>
        </w:rPr>
      </w:pPr>
      <w:r w:rsidRPr="00703340">
        <w:rPr>
          <w:sz w:val="22"/>
          <w:szCs w:val="21"/>
        </w:rPr>
        <w:t>If it’s</w:t>
      </w:r>
      <w:r w:rsidRPr="00703340">
        <w:rPr>
          <w:sz w:val="22"/>
          <w:lang w:eastAsia="zh-CN"/>
        </w:rPr>
        <w:t xml:space="preserve"> IAB-donor of mobile IAB-DU to assign the new PCI, we think the following information should be transferred </w:t>
      </w:r>
      <w:r w:rsidR="00FC484D" w:rsidRPr="00703340">
        <w:rPr>
          <w:sz w:val="22"/>
          <w:lang w:eastAsia="zh-CN"/>
        </w:rPr>
        <w:t>from</w:t>
      </w:r>
      <w:r w:rsidRPr="00703340">
        <w:rPr>
          <w:sz w:val="22"/>
          <w:lang w:eastAsia="zh-CN"/>
        </w:rPr>
        <w:t xml:space="preserve"> the mobile IAB-node to IAB-donor of mobile IAB-DU</w:t>
      </w:r>
    </w:p>
    <w:p w14:paraId="47BB0CFA" w14:textId="296187E9" w:rsidR="004F02D5" w:rsidRPr="00703340" w:rsidRDefault="004F02D5" w:rsidP="004F02D5">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The pre-configurations in the mobile IAB-node, e.g. the pre-configured frequency and list of </w:t>
      </w:r>
      <w:proofErr w:type="gramStart"/>
      <w:r w:rsidRPr="00703340">
        <w:rPr>
          <w:rFonts w:ascii="Times New Roman" w:hAnsi="Times New Roman"/>
          <w:sz w:val="22"/>
          <w:lang w:eastAsia="zh-CN"/>
        </w:rPr>
        <w:t>PCI</w:t>
      </w:r>
      <w:proofErr w:type="gramEnd"/>
      <w:r w:rsidRPr="00703340">
        <w:rPr>
          <w:rFonts w:ascii="Times New Roman" w:hAnsi="Times New Roman"/>
          <w:sz w:val="22"/>
          <w:lang w:eastAsia="zh-CN"/>
        </w:rPr>
        <w:t xml:space="preserve"> for distributed PCI reconfiguration</w:t>
      </w:r>
    </w:p>
    <w:p w14:paraId="6989CD7E" w14:textId="4FDB152D" w:rsidR="00A40F9F" w:rsidRPr="00703340" w:rsidRDefault="004F02D5" w:rsidP="00A40F9F">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IAB-node movement info, since IAB node is mobile, it would be useful if known the location or trajectory of the IAB node, so that the new configuration can avoid the interference in the road of a mobile IAB-node.</w:t>
      </w:r>
    </w:p>
    <w:p w14:paraId="61C1C7EE" w14:textId="7A6254AF" w:rsidR="0030392F" w:rsidRPr="00703340" w:rsidRDefault="0030392F" w:rsidP="004E6C01">
      <w:pPr>
        <w:rPr>
          <w:b/>
          <w:sz w:val="22"/>
          <w:szCs w:val="21"/>
          <w:lang w:val="en-US"/>
        </w:rPr>
      </w:pPr>
      <w:r w:rsidRPr="00754BC0">
        <w:rPr>
          <w:sz w:val="22"/>
          <w:szCs w:val="21"/>
          <w:lang w:val="en-US"/>
        </w:rPr>
        <w:t>Regarding</w:t>
      </w:r>
      <w:r w:rsidRPr="00703340">
        <w:rPr>
          <w:b/>
          <w:sz w:val="22"/>
          <w:szCs w:val="21"/>
          <w:lang w:val="en-US"/>
        </w:rPr>
        <w:t xml:space="preserve"> </w:t>
      </w:r>
      <w:r w:rsidR="00703340" w:rsidRPr="00703340">
        <w:rPr>
          <w:rFonts w:ascii="Calibri" w:hAnsi="Calibri" w:cs="Calibri"/>
          <w:b/>
          <w:color w:val="008000"/>
        </w:rPr>
        <w:t xml:space="preserve">PCI-change on the IAB-node can be supported via handover of connected UEs between cells using old and new PCI, respectively, </w:t>
      </w:r>
      <w:r w:rsidR="00703340" w:rsidRPr="00703340">
        <w:rPr>
          <w:kern w:val="2"/>
          <w:sz w:val="22"/>
          <w:szCs w:val="22"/>
          <w:lang w:val="en-US" w:eastAsia="zh-CN"/>
        </w:rPr>
        <w:t xml:space="preserve">we think </w:t>
      </w:r>
      <w:r w:rsidR="00754BC0">
        <w:rPr>
          <w:kern w:val="2"/>
          <w:sz w:val="22"/>
          <w:szCs w:val="22"/>
          <w:lang w:val="en-US" w:eastAsia="zh-CN"/>
        </w:rPr>
        <w:t>the intra-</w:t>
      </w:r>
      <w:proofErr w:type="spellStart"/>
      <w:r w:rsidR="00754BC0">
        <w:rPr>
          <w:kern w:val="2"/>
          <w:sz w:val="22"/>
          <w:szCs w:val="22"/>
          <w:lang w:val="en-US" w:eastAsia="zh-CN"/>
        </w:rPr>
        <w:t>gNB</w:t>
      </w:r>
      <w:proofErr w:type="spellEnd"/>
      <w:r w:rsidR="00754BC0">
        <w:rPr>
          <w:kern w:val="2"/>
          <w:sz w:val="22"/>
          <w:szCs w:val="22"/>
          <w:lang w:val="en-US" w:eastAsia="zh-CN"/>
        </w:rPr>
        <w:t xml:space="preserve"> handover procedure can be used, and there will be no issue and additional enhancements on </w:t>
      </w:r>
      <w:r w:rsidR="00303236">
        <w:rPr>
          <w:kern w:val="2"/>
          <w:sz w:val="22"/>
          <w:szCs w:val="22"/>
          <w:lang w:val="en-US" w:eastAsia="zh-CN"/>
        </w:rPr>
        <w:t>these handovers</w:t>
      </w:r>
      <w:r w:rsidR="00754BC0">
        <w:rPr>
          <w:kern w:val="2"/>
          <w:sz w:val="22"/>
          <w:szCs w:val="22"/>
          <w:lang w:val="en-US" w:eastAsia="zh-CN"/>
        </w:rPr>
        <w:t>.</w:t>
      </w:r>
    </w:p>
    <w:p w14:paraId="7C14DD67" w14:textId="4BDC6955" w:rsidR="002C3877" w:rsidRPr="00703340" w:rsidRDefault="00507FC6" w:rsidP="004E6C01">
      <w:pPr>
        <w:rPr>
          <w:b/>
          <w:sz w:val="22"/>
          <w:szCs w:val="21"/>
          <w:lang w:val="en-US"/>
        </w:rPr>
      </w:pPr>
      <w:r w:rsidRPr="00703340">
        <w:rPr>
          <w:b/>
          <w:sz w:val="22"/>
          <w:szCs w:val="21"/>
          <w:lang w:val="en-US"/>
        </w:rPr>
        <w:t>Observation</w:t>
      </w:r>
      <w:r w:rsidR="00C02916" w:rsidRPr="00703340">
        <w:rPr>
          <w:b/>
          <w:sz w:val="22"/>
          <w:szCs w:val="21"/>
          <w:lang w:val="en-US"/>
        </w:rPr>
        <w:t xml:space="preserve"> </w:t>
      </w:r>
      <w:r w:rsidR="00FC484D" w:rsidRPr="00703340">
        <w:rPr>
          <w:b/>
          <w:sz w:val="22"/>
          <w:szCs w:val="21"/>
          <w:lang w:val="en-US"/>
        </w:rPr>
        <w:t>2</w:t>
      </w:r>
      <w:r w:rsidRPr="00703340">
        <w:rPr>
          <w:b/>
          <w:sz w:val="22"/>
          <w:szCs w:val="21"/>
          <w:lang w:val="en-US"/>
        </w:rPr>
        <w:t xml:space="preserve">, </w:t>
      </w:r>
      <w:r w:rsidR="00FC484D" w:rsidRPr="00703340">
        <w:rPr>
          <w:b/>
          <w:sz w:val="22"/>
          <w:szCs w:val="21"/>
          <w:lang w:val="en-US"/>
        </w:rPr>
        <w:t>current PCI optimization mechanism is not sufficient to support the mobile IAB scenario</w:t>
      </w:r>
      <w:r w:rsidR="002C3877" w:rsidRPr="00703340">
        <w:rPr>
          <w:b/>
          <w:sz w:val="22"/>
          <w:szCs w:val="21"/>
          <w:lang w:val="en-US"/>
        </w:rPr>
        <w:t>, since IAB-donor may connect to different OAM from IAB-node.</w:t>
      </w:r>
    </w:p>
    <w:p w14:paraId="0575829D" w14:textId="3B215076" w:rsidR="004F02D5" w:rsidRPr="00703340" w:rsidRDefault="00C02916" w:rsidP="004E6C01">
      <w:pPr>
        <w:rPr>
          <w:b/>
          <w:sz w:val="22"/>
          <w:szCs w:val="21"/>
          <w:lang w:val="en-US"/>
        </w:rPr>
      </w:pPr>
      <w:r w:rsidRPr="00703340">
        <w:rPr>
          <w:b/>
          <w:sz w:val="22"/>
          <w:szCs w:val="21"/>
          <w:lang w:val="en-US"/>
        </w:rPr>
        <w:t>P</w:t>
      </w:r>
      <w:r w:rsidR="002C3877" w:rsidRPr="00703340">
        <w:rPr>
          <w:b/>
          <w:sz w:val="22"/>
          <w:szCs w:val="21"/>
          <w:lang w:val="en-US"/>
        </w:rPr>
        <w:t>roposal</w:t>
      </w:r>
      <w:r w:rsidRPr="00703340">
        <w:rPr>
          <w:b/>
          <w:sz w:val="22"/>
          <w:szCs w:val="21"/>
          <w:lang w:val="en-US"/>
        </w:rPr>
        <w:t xml:space="preserve"> </w:t>
      </w:r>
      <w:r w:rsidR="00FC484D" w:rsidRPr="00703340">
        <w:rPr>
          <w:b/>
          <w:sz w:val="22"/>
          <w:szCs w:val="21"/>
          <w:lang w:val="en-US"/>
        </w:rPr>
        <w:t>2</w:t>
      </w:r>
      <w:r w:rsidR="002C3877" w:rsidRPr="00703340">
        <w:rPr>
          <w:b/>
          <w:sz w:val="22"/>
          <w:szCs w:val="21"/>
          <w:lang w:val="en-US"/>
        </w:rPr>
        <w:t xml:space="preserve">, </w:t>
      </w:r>
      <w:r w:rsidR="004F02D5" w:rsidRPr="00703340">
        <w:rPr>
          <w:b/>
          <w:sz w:val="22"/>
          <w:szCs w:val="21"/>
          <w:lang w:val="en-US"/>
        </w:rPr>
        <w:t>RAN3 discuss which node (</w:t>
      </w:r>
      <w:proofErr w:type="spellStart"/>
      <w:r w:rsidR="004F02D5" w:rsidRPr="00703340">
        <w:rPr>
          <w:b/>
          <w:sz w:val="22"/>
          <w:szCs w:val="21"/>
          <w:lang w:val="en-US"/>
        </w:rPr>
        <w:t>i.e</w:t>
      </w:r>
      <w:proofErr w:type="spellEnd"/>
      <w:r w:rsidR="004F02D5" w:rsidRPr="00703340">
        <w:rPr>
          <w:b/>
          <w:sz w:val="22"/>
          <w:szCs w:val="21"/>
          <w:lang w:val="en-US"/>
        </w:rPr>
        <w:t xml:space="preserve"> mobile IAB-node or IAB-donor of mobile IAB-DU) is responsible for PCI reassignment if PCI collision is detected.</w:t>
      </w:r>
    </w:p>
    <w:p w14:paraId="00F64FBD" w14:textId="3D5101F9" w:rsidR="002C3877" w:rsidRPr="00703340" w:rsidRDefault="004F02D5" w:rsidP="004E6C01">
      <w:pPr>
        <w:rPr>
          <w:b/>
          <w:sz w:val="22"/>
          <w:szCs w:val="21"/>
          <w:lang w:val="en-US"/>
        </w:rPr>
      </w:pPr>
      <w:r w:rsidRPr="00703340">
        <w:rPr>
          <w:b/>
          <w:sz w:val="22"/>
          <w:szCs w:val="21"/>
          <w:lang w:val="en-US"/>
        </w:rPr>
        <w:t xml:space="preserve">Proposal </w:t>
      </w:r>
      <w:r w:rsidR="00FC484D" w:rsidRPr="00703340">
        <w:rPr>
          <w:b/>
          <w:sz w:val="22"/>
          <w:szCs w:val="21"/>
          <w:lang w:val="en-US"/>
        </w:rPr>
        <w:t>3</w:t>
      </w:r>
      <w:r w:rsidRPr="00703340">
        <w:rPr>
          <w:b/>
          <w:sz w:val="22"/>
          <w:szCs w:val="21"/>
          <w:lang w:val="en-US"/>
        </w:rPr>
        <w:t xml:space="preserve">, If it’s the mobile IAB node (or it’s OAM) to assign the new PCI, the PCI collision detection indication and the cell configuration of the </w:t>
      </w:r>
      <w:proofErr w:type="spellStart"/>
      <w:r w:rsidRPr="00703340">
        <w:rPr>
          <w:b/>
          <w:sz w:val="22"/>
          <w:szCs w:val="21"/>
          <w:lang w:val="en-US"/>
        </w:rPr>
        <w:t>neighbours</w:t>
      </w:r>
      <w:proofErr w:type="spellEnd"/>
      <w:r w:rsidRPr="00703340">
        <w:rPr>
          <w:b/>
          <w:sz w:val="22"/>
          <w:szCs w:val="21"/>
          <w:lang w:val="en-US"/>
        </w:rPr>
        <w:t xml:space="preserve"> should be transferred from IAB-donor of mobile IAB-DU to the mobile IAB-node.</w:t>
      </w:r>
    </w:p>
    <w:p w14:paraId="346782D1" w14:textId="683A3AAB" w:rsidR="004F02D5" w:rsidRPr="00703340" w:rsidRDefault="004F02D5" w:rsidP="004E6C01">
      <w:pPr>
        <w:rPr>
          <w:b/>
          <w:sz w:val="22"/>
          <w:szCs w:val="21"/>
          <w:lang w:val="en-US"/>
        </w:rPr>
      </w:pPr>
      <w:r w:rsidRPr="00703340">
        <w:rPr>
          <w:b/>
          <w:sz w:val="22"/>
          <w:szCs w:val="21"/>
          <w:lang w:val="en-US"/>
        </w:rPr>
        <w:t xml:space="preserve">Proposal </w:t>
      </w:r>
      <w:r w:rsidR="00FC484D" w:rsidRPr="00703340">
        <w:rPr>
          <w:b/>
          <w:sz w:val="22"/>
          <w:szCs w:val="21"/>
          <w:lang w:val="en-US"/>
        </w:rPr>
        <w:t>4</w:t>
      </w:r>
      <w:r w:rsidRPr="00703340">
        <w:rPr>
          <w:b/>
          <w:sz w:val="22"/>
          <w:szCs w:val="21"/>
          <w:lang w:val="en-US"/>
        </w:rPr>
        <w:t>, If it’s IAB-donor of mobile IAB-DU</w:t>
      </w:r>
      <w:r w:rsidR="00FC484D" w:rsidRPr="00703340">
        <w:rPr>
          <w:b/>
          <w:sz w:val="22"/>
          <w:szCs w:val="21"/>
          <w:lang w:val="en-US"/>
        </w:rPr>
        <w:t xml:space="preserve"> (or it’s OAM)</w:t>
      </w:r>
      <w:r w:rsidRPr="00703340">
        <w:rPr>
          <w:b/>
          <w:sz w:val="22"/>
          <w:szCs w:val="21"/>
          <w:lang w:val="en-US"/>
        </w:rPr>
        <w:t xml:space="preserve"> to assign the new PCI, we think the </w:t>
      </w:r>
      <w:r w:rsidR="00FC484D" w:rsidRPr="00703340">
        <w:rPr>
          <w:b/>
          <w:sz w:val="22"/>
          <w:szCs w:val="21"/>
          <w:lang w:val="en-US"/>
        </w:rPr>
        <w:t>pre-configurations PCI list in the mobile IAB-node and the</w:t>
      </w:r>
      <w:r w:rsidR="00C4534B" w:rsidRPr="00703340">
        <w:rPr>
          <w:b/>
          <w:sz w:val="22"/>
          <w:szCs w:val="21"/>
          <w:lang w:val="en-US"/>
        </w:rPr>
        <w:t xml:space="preserve"> </w:t>
      </w:r>
      <w:r w:rsidR="00FC484D" w:rsidRPr="00703340">
        <w:rPr>
          <w:b/>
          <w:sz w:val="22"/>
          <w:szCs w:val="21"/>
          <w:lang w:val="en-US"/>
        </w:rPr>
        <w:t>IAB-node movement info</w:t>
      </w:r>
      <w:r w:rsidRPr="00703340">
        <w:rPr>
          <w:b/>
          <w:sz w:val="22"/>
          <w:szCs w:val="21"/>
          <w:lang w:val="en-US"/>
        </w:rPr>
        <w:t xml:space="preserve"> should be transferred </w:t>
      </w:r>
      <w:r w:rsidR="00FC484D" w:rsidRPr="00703340">
        <w:rPr>
          <w:b/>
          <w:sz w:val="22"/>
          <w:szCs w:val="21"/>
          <w:lang w:val="en-US"/>
        </w:rPr>
        <w:t>from</w:t>
      </w:r>
      <w:r w:rsidRPr="00703340">
        <w:rPr>
          <w:b/>
          <w:sz w:val="22"/>
          <w:szCs w:val="21"/>
          <w:lang w:val="en-US"/>
        </w:rPr>
        <w:t xml:space="preserve"> the mobile IAB-node to IAB-donor of mobile IAB-DU</w:t>
      </w:r>
      <w:r w:rsidR="00FC484D" w:rsidRPr="00703340">
        <w:rPr>
          <w:b/>
          <w:sz w:val="22"/>
          <w:szCs w:val="21"/>
          <w:lang w:val="en-US"/>
        </w:rPr>
        <w:t>.</w:t>
      </w:r>
    </w:p>
    <w:p w14:paraId="29FB7A54" w14:textId="670C0E68" w:rsidR="002C3877" w:rsidRDefault="002C3877" w:rsidP="002C3877">
      <w:pPr>
        <w:pStyle w:val="2"/>
      </w:pPr>
      <w:r>
        <w:t>2.</w:t>
      </w:r>
      <w:r w:rsidR="00E10D86">
        <w:t>2</w:t>
      </w:r>
      <w:r>
        <w:tab/>
        <w:t xml:space="preserve">PCI </w:t>
      </w:r>
      <w:r w:rsidR="00FB6608">
        <w:t>collision detection</w:t>
      </w:r>
    </w:p>
    <w:p w14:paraId="6D9DE3A0" w14:textId="4AFF69A5" w:rsidR="00B8627F" w:rsidRPr="00754BC0" w:rsidRDefault="00B8627F" w:rsidP="002C3877">
      <w:pPr>
        <w:rPr>
          <w:sz w:val="22"/>
        </w:rPr>
      </w:pPr>
      <w:r w:rsidRPr="00754BC0">
        <w:rPr>
          <w:sz w:val="22"/>
        </w:rPr>
        <w:t xml:space="preserve">In last RAN3 meeting, how to detect PCI collision after partial migration had been discussed. In our understanding, if there’s PCI conflict or collision, it will cause UE’s call drop and handover failure, so in legacy, the </w:t>
      </w:r>
      <w:proofErr w:type="spellStart"/>
      <w:r w:rsidRPr="00754BC0">
        <w:rPr>
          <w:sz w:val="22"/>
        </w:rPr>
        <w:t>gNB</w:t>
      </w:r>
      <w:proofErr w:type="spellEnd"/>
      <w:r w:rsidRPr="00754BC0">
        <w:rPr>
          <w:sz w:val="22"/>
        </w:rPr>
        <w:t xml:space="preserve"> serving the UE can detect the PCI collision via at least the following information:</w:t>
      </w:r>
    </w:p>
    <w:p w14:paraId="1F5799EB" w14:textId="4E965609" w:rsidR="00B8627F" w:rsidRPr="00754BC0" w:rsidRDefault="00B8627F" w:rsidP="00B8627F">
      <w:pPr>
        <w:pStyle w:val="a9"/>
        <w:numPr>
          <w:ilvl w:val="0"/>
          <w:numId w:val="14"/>
        </w:numPr>
        <w:spacing w:line="360" w:lineRule="auto"/>
        <w:ind w:leftChars="0" w:left="714" w:hanging="357"/>
        <w:rPr>
          <w:rFonts w:ascii="Times New Roman" w:hAnsi="Times New Roman"/>
          <w:sz w:val="22"/>
          <w:lang w:eastAsia="zh-CN"/>
        </w:rPr>
      </w:pPr>
      <w:r w:rsidRPr="00754BC0">
        <w:rPr>
          <w:rFonts w:ascii="Times New Roman" w:hAnsi="Times New Roman"/>
          <w:sz w:val="22"/>
          <w:lang w:eastAsia="zh-CN"/>
        </w:rPr>
        <w:t>Measurement report from the served UEs</w:t>
      </w:r>
    </w:p>
    <w:p w14:paraId="14E8A798" w14:textId="1342D099" w:rsidR="00B8627F" w:rsidRPr="00754BC0" w:rsidRDefault="00B8627F" w:rsidP="00B8627F">
      <w:pPr>
        <w:pStyle w:val="a9"/>
        <w:numPr>
          <w:ilvl w:val="0"/>
          <w:numId w:val="14"/>
        </w:numPr>
        <w:spacing w:line="360" w:lineRule="auto"/>
        <w:ind w:leftChars="0" w:left="714" w:hanging="357"/>
        <w:rPr>
          <w:rFonts w:ascii="Times New Roman" w:hAnsi="Times New Roman"/>
          <w:sz w:val="22"/>
          <w:lang w:eastAsia="zh-CN"/>
        </w:rPr>
      </w:pPr>
      <w:r w:rsidRPr="00754BC0">
        <w:rPr>
          <w:rFonts w:ascii="Times New Roman" w:hAnsi="Times New Roman"/>
          <w:sz w:val="22"/>
          <w:lang w:eastAsia="zh-CN"/>
        </w:rPr>
        <w:t>Handover failures</w:t>
      </w:r>
      <w:r w:rsidR="002A0B34" w:rsidRPr="00754BC0">
        <w:rPr>
          <w:rFonts w:ascii="Times New Roman" w:hAnsi="Times New Roman"/>
          <w:sz w:val="22"/>
          <w:lang w:eastAsia="zh-CN"/>
        </w:rPr>
        <w:t xml:space="preserve"> or RLF</w:t>
      </w:r>
      <w:r w:rsidRPr="00754BC0">
        <w:rPr>
          <w:rFonts w:ascii="Times New Roman" w:hAnsi="Times New Roman"/>
          <w:sz w:val="22"/>
          <w:lang w:eastAsia="zh-CN"/>
        </w:rPr>
        <w:t xml:space="preserve"> of the served UEs</w:t>
      </w:r>
    </w:p>
    <w:p w14:paraId="76829C29" w14:textId="4548C28D" w:rsidR="00B8627F" w:rsidRPr="00754BC0" w:rsidRDefault="00B8627F" w:rsidP="00B8627F">
      <w:pPr>
        <w:pStyle w:val="a9"/>
        <w:numPr>
          <w:ilvl w:val="0"/>
          <w:numId w:val="14"/>
        </w:numPr>
        <w:spacing w:line="360" w:lineRule="auto"/>
        <w:ind w:leftChars="0" w:left="714" w:hanging="357"/>
        <w:rPr>
          <w:rFonts w:ascii="Times New Roman" w:hAnsi="Times New Roman"/>
          <w:sz w:val="22"/>
          <w:lang w:eastAsia="zh-CN"/>
        </w:rPr>
      </w:pPr>
      <w:r w:rsidRPr="00754BC0">
        <w:rPr>
          <w:rFonts w:ascii="Times New Roman" w:hAnsi="Times New Roman"/>
          <w:sz w:val="22"/>
          <w:lang w:eastAsia="zh-CN"/>
        </w:rPr>
        <w:t>Cell information of the Neighbors</w:t>
      </w:r>
    </w:p>
    <w:p w14:paraId="23A0E392" w14:textId="1BD5E4A4" w:rsidR="00E10D86" w:rsidRPr="00754BC0" w:rsidRDefault="00B8627F" w:rsidP="002C3877">
      <w:pPr>
        <w:rPr>
          <w:sz w:val="22"/>
        </w:rPr>
      </w:pPr>
      <w:r w:rsidRPr="00754BC0">
        <w:rPr>
          <w:sz w:val="22"/>
        </w:rPr>
        <w:t xml:space="preserve"> The information above is transferred either from UE </w:t>
      </w:r>
      <w:r w:rsidR="002A0B34" w:rsidRPr="00754BC0">
        <w:rPr>
          <w:sz w:val="22"/>
        </w:rPr>
        <w:t>to</w:t>
      </w:r>
      <w:r w:rsidRPr="00754BC0">
        <w:rPr>
          <w:sz w:val="22"/>
        </w:rPr>
        <w:t xml:space="preserve"> serving </w:t>
      </w:r>
      <w:proofErr w:type="spellStart"/>
      <w:r w:rsidRPr="00754BC0">
        <w:rPr>
          <w:sz w:val="22"/>
        </w:rPr>
        <w:t>gNB</w:t>
      </w:r>
      <w:proofErr w:type="spellEnd"/>
      <w:r w:rsidRPr="00754BC0">
        <w:rPr>
          <w:sz w:val="22"/>
        </w:rPr>
        <w:t xml:space="preserve">, or between </w:t>
      </w:r>
      <w:proofErr w:type="spellStart"/>
      <w:r w:rsidRPr="00754BC0">
        <w:rPr>
          <w:sz w:val="22"/>
        </w:rPr>
        <w:t>gNBs</w:t>
      </w:r>
      <w:proofErr w:type="spellEnd"/>
      <w:r w:rsidRPr="00754BC0">
        <w:rPr>
          <w:sz w:val="22"/>
        </w:rPr>
        <w:t>.</w:t>
      </w:r>
    </w:p>
    <w:p w14:paraId="3A295AA4" w14:textId="0C9523DB" w:rsidR="00B8627F" w:rsidRPr="00754BC0" w:rsidRDefault="00B8627F" w:rsidP="002C3877">
      <w:pPr>
        <w:rPr>
          <w:sz w:val="22"/>
        </w:rPr>
      </w:pPr>
      <w:r w:rsidRPr="00754BC0">
        <w:rPr>
          <w:sz w:val="22"/>
        </w:rPr>
        <w:t xml:space="preserve">If the same mechanism is applied to the scenario of partial migration, the information can be transferred from UE served by mobile IAB-node to the serving </w:t>
      </w:r>
      <w:proofErr w:type="spellStart"/>
      <w:r w:rsidRPr="00754BC0">
        <w:rPr>
          <w:sz w:val="22"/>
        </w:rPr>
        <w:t>gNB</w:t>
      </w:r>
      <w:proofErr w:type="spellEnd"/>
      <w:r w:rsidRPr="00754BC0">
        <w:rPr>
          <w:sz w:val="22"/>
        </w:rPr>
        <w:t xml:space="preserve"> (i.e. F1-terminating donor CU), or the information can be transferred between F1-terminating donor and non-F1 terminating donor via existing messages.</w:t>
      </w:r>
    </w:p>
    <w:p w14:paraId="371B926B" w14:textId="0D70042E" w:rsidR="00E10D86" w:rsidRPr="00754BC0" w:rsidRDefault="00B8627F" w:rsidP="002C3877">
      <w:pPr>
        <w:rPr>
          <w:b/>
          <w:sz w:val="22"/>
        </w:rPr>
      </w:pPr>
      <w:r w:rsidRPr="00754BC0">
        <w:rPr>
          <w:b/>
          <w:sz w:val="22"/>
        </w:rPr>
        <w:t>Observation</w:t>
      </w:r>
      <w:r w:rsidR="00FC484D" w:rsidRPr="00754BC0">
        <w:rPr>
          <w:b/>
          <w:sz w:val="22"/>
        </w:rPr>
        <w:t xml:space="preserve"> 3</w:t>
      </w:r>
      <w:r w:rsidRPr="00754BC0">
        <w:rPr>
          <w:b/>
          <w:sz w:val="22"/>
        </w:rPr>
        <w:t>, PCI collision detection in case of partial migration can rely on the</w:t>
      </w:r>
      <w:r w:rsidR="002A0B34" w:rsidRPr="00754BC0">
        <w:rPr>
          <w:b/>
          <w:sz w:val="22"/>
        </w:rPr>
        <w:t xml:space="preserve"> existing signalling, i.e. measurement</w:t>
      </w:r>
      <w:r w:rsidRPr="00754BC0">
        <w:rPr>
          <w:b/>
          <w:sz w:val="22"/>
        </w:rPr>
        <w:t xml:space="preserve"> information </w:t>
      </w:r>
      <w:r w:rsidR="002A0B34" w:rsidRPr="00754BC0">
        <w:rPr>
          <w:b/>
          <w:sz w:val="22"/>
        </w:rPr>
        <w:t>reported from the UE served by mobile IAB-node or neighbour information transferred from the non-F1 terminating donor.</w:t>
      </w:r>
    </w:p>
    <w:bookmarkEnd w:id="1"/>
    <w:p w14:paraId="0D110258" w14:textId="77777777" w:rsidR="00CD4C7B" w:rsidRPr="006E13D1" w:rsidRDefault="00972FD7" w:rsidP="00CD4C7B">
      <w:pPr>
        <w:pStyle w:val="1"/>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1F8384BA" w14:textId="77777777" w:rsidR="00303236" w:rsidRPr="00703340" w:rsidRDefault="00303236" w:rsidP="00303236">
      <w:pPr>
        <w:rPr>
          <w:b/>
          <w:sz w:val="22"/>
          <w:szCs w:val="21"/>
          <w:lang w:val="en-US"/>
        </w:rPr>
      </w:pPr>
      <w:r w:rsidRPr="00703340">
        <w:rPr>
          <w:b/>
          <w:sz w:val="22"/>
          <w:szCs w:val="21"/>
          <w:lang w:val="en-US"/>
        </w:rPr>
        <w:t>Observation 1, The IAB-node and IAB-donor may be provided by different vendors with different OAMs for the same PLMN.</w:t>
      </w:r>
    </w:p>
    <w:p w14:paraId="13878F24" w14:textId="528B1B10" w:rsidR="00303236" w:rsidRDefault="00303236" w:rsidP="00303236">
      <w:pPr>
        <w:rPr>
          <w:b/>
          <w:sz w:val="22"/>
          <w:szCs w:val="21"/>
          <w:lang w:val="en-US"/>
        </w:rPr>
      </w:pPr>
      <w:r w:rsidRPr="00703340">
        <w:rPr>
          <w:b/>
          <w:sz w:val="22"/>
          <w:szCs w:val="21"/>
          <w:lang w:val="en-US"/>
        </w:rPr>
        <w:t>Proposal 1, PCI reconfiguration in case of IAB-donor and IAB-node with different OAMs should be supported in R18.</w:t>
      </w:r>
    </w:p>
    <w:p w14:paraId="635DA8D3" w14:textId="77777777" w:rsidR="00303236" w:rsidRPr="00703340" w:rsidRDefault="00303236" w:rsidP="00303236">
      <w:pPr>
        <w:rPr>
          <w:b/>
          <w:sz w:val="22"/>
          <w:szCs w:val="21"/>
          <w:lang w:val="en-US"/>
        </w:rPr>
      </w:pPr>
      <w:r w:rsidRPr="00703340">
        <w:rPr>
          <w:b/>
          <w:sz w:val="22"/>
          <w:szCs w:val="21"/>
          <w:lang w:val="en-US"/>
        </w:rPr>
        <w:t>Observation 2, current PCI optimization mechanism is not sufficient to support the mobile IAB scenario, since IAB-donor may connect to different OAM from IAB-node.</w:t>
      </w:r>
    </w:p>
    <w:p w14:paraId="1B2298EC" w14:textId="77777777" w:rsidR="00303236" w:rsidRPr="00703340" w:rsidRDefault="00303236" w:rsidP="00303236">
      <w:pPr>
        <w:rPr>
          <w:b/>
          <w:sz w:val="22"/>
          <w:szCs w:val="21"/>
          <w:lang w:val="en-US"/>
        </w:rPr>
      </w:pPr>
      <w:r w:rsidRPr="00703340">
        <w:rPr>
          <w:b/>
          <w:sz w:val="22"/>
          <w:szCs w:val="21"/>
          <w:lang w:val="en-US"/>
        </w:rPr>
        <w:t>Proposal 2, RAN3 discuss which node (</w:t>
      </w:r>
      <w:proofErr w:type="spellStart"/>
      <w:r w:rsidRPr="00703340">
        <w:rPr>
          <w:b/>
          <w:sz w:val="22"/>
          <w:szCs w:val="21"/>
          <w:lang w:val="en-US"/>
        </w:rPr>
        <w:t>i.e</w:t>
      </w:r>
      <w:proofErr w:type="spellEnd"/>
      <w:r w:rsidRPr="00703340">
        <w:rPr>
          <w:b/>
          <w:sz w:val="22"/>
          <w:szCs w:val="21"/>
          <w:lang w:val="en-US"/>
        </w:rPr>
        <w:t xml:space="preserve"> mobile IAB-node or IAB-donor of mobile IAB-DU) is responsible for PCI reassignment if PCI collision is detected.</w:t>
      </w:r>
    </w:p>
    <w:p w14:paraId="1951494A" w14:textId="77777777" w:rsidR="00303236" w:rsidRPr="00703340" w:rsidRDefault="00303236" w:rsidP="00303236">
      <w:pPr>
        <w:rPr>
          <w:b/>
          <w:sz w:val="22"/>
          <w:szCs w:val="21"/>
          <w:lang w:val="en-US"/>
        </w:rPr>
      </w:pPr>
      <w:r w:rsidRPr="00703340">
        <w:rPr>
          <w:b/>
          <w:sz w:val="22"/>
          <w:szCs w:val="21"/>
          <w:lang w:val="en-US"/>
        </w:rPr>
        <w:t xml:space="preserve">Proposal 3, If it’s the mobile IAB node (or it’s OAM) to assign the new PCI, the PCI collision detection indication and the cell configuration of the </w:t>
      </w:r>
      <w:proofErr w:type="spellStart"/>
      <w:r w:rsidRPr="00703340">
        <w:rPr>
          <w:b/>
          <w:sz w:val="22"/>
          <w:szCs w:val="21"/>
          <w:lang w:val="en-US"/>
        </w:rPr>
        <w:t>neighbours</w:t>
      </w:r>
      <w:proofErr w:type="spellEnd"/>
      <w:r w:rsidRPr="00703340">
        <w:rPr>
          <w:b/>
          <w:sz w:val="22"/>
          <w:szCs w:val="21"/>
          <w:lang w:val="en-US"/>
        </w:rPr>
        <w:t xml:space="preserve"> should be transferred from IAB-donor of mobile IAB-DU to the mobile IAB-node.</w:t>
      </w:r>
    </w:p>
    <w:p w14:paraId="5E754E28" w14:textId="77777777" w:rsidR="00303236" w:rsidRPr="00703340" w:rsidRDefault="00303236" w:rsidP="00303236">
      <w:pPr>
        <w:rPr>
          <w:b/>
          <w:sz w:val="22"/>
          <w:szCs w:val="21"/>
          <w:lang w:val="en-US"/>
        </w:rPr>
      </w:pPr>
      <w:r w:rsidRPr="00703340">
        <w:rPr>
          <w:b/>
          <w:sz w:val="22"/>
          <w:szCs w:val="21"/>
          <w:lang w:val="en-US"/>
        </w:rPr>
        <w:t>Proposal 4, If it’s IAB-donor of mobile IAB-DU (or it’s OAM) to assign the new PCI, we think the pre-configurations PCI list in the mobile IAB-node and the IAB-node movement info should be transferred from the mobile IAB-node to IAB-donor of mobile IAB-DU.</w:t>
      </w:r>
    </w:p>
    <w:p w14:paraId="3D9A1D7D" w14:textId="5886A527" w:rsidR="00303236" w:rsidRPr="00303236" w:rsidRDefault="00303236" w:rsidP="00303236">
      <w:pPr>
        <w:rPr>
          <w:b/>
          <w:sz w:val="22"/>
        </w:rPr>
      </w:pPr>
      <w:r w:rsidRPr="00754BC0">
        <w:rPr>
          <w:b/>
          <w:sz w:val="22"/>
        </w:rPr>
        <w:t>Observation 3, PCI collision detection in case of partial migration can rely on the existing signalling, i.e. measurement information reported from the UE served by mobile IAB-node or neighbour information transferred from the non-F1 terminating donor.</w:t>
      </w:r>
    </w:p>
    <w:p w14:paraId="193FD945" w14:textId="41EEED5D" w:rsidR="00CD4C7B" w:rsidRPr="006E13D1" w:rsidRDefault="00342065" w:rsidP="00CD4C7B">
      <w:pPr>
        <w:pStyle w:val="1"/>
      </w:pPr>
      <w:r>
        <w:t>4</w:t>
      </w:r>
      <w:r>
        <w:tab/>
      </w:r>
      <w:r w:rsidR="00CD4C7B" w:rsidRPr="006E13D1">
        <w:t>References</w:t>
      </w:r>
    </w:p>
    <w:p w14:paraId="079C0D43" w14:textId="12744EBE" w:rsidR="00C95C04" w:rsidRDefault="00FC6F99" w:rsidP="00C95C04">
      <w:pPr>
        <w:overflowPunct w:val="0"/>
        <w:autoSpaceDE w:val="0"/>
        <w:autoSpaceDN w:val="0"/>
        <w:adjustRightInd w:val="0"/>
        <w:ind w:left="567" w:hanging="567"/>
        <w:textAlignment w:val="baseline"/>
      </w:pPr>
      <w:r>
        <w:t>[1] TS 38.</w:t>
      </w:r>
      <w:r w:rsidR="00E10D86">
        <w:t>300</w:t>
      </w:r>
      <w:r w:rsidR="00D407F9">
        <w:t xml:space="preserve">, </w:t>
      </w:r>
      <w:r w:rsidR="00D407F9" w:rsidRPr="00425751">
        <w:t>NR; NR and NG-RAN Overall Description</w:t>
      </w:r>
    </w:p>
    <w:p w14:paraId="6E2255CC" w14:textId="451F0D68" w:rsidR="00E10D86" w:rsidRPr="00CD4C7B" w:rsidRDefault="00E10D86" w:rsidP="00E10D86">
      <w:pPr>
        <w:overflowPunct w:val="0"/>
        <w:autoSpaceDE w:val="0"/>
        <w:autoSpaceDN w:val="0"/>
        <w:adjustRightInd w:val="0"/>
        <w:ind w:left="567" w:hanging="567"/>
        <w:textAlignment w:val="baseline"/>
      </w:pPr>
      <w:r>
        <w:t>[2] TS 38.401</w:t>
      </w:r>
      <w:r w:rsidR="00D407F9">
        <w:t xml:space="preserve">, </w:t>
      </w:r>
      <w:r w:rsidR="00D407F9" w:rsidRPr="00425751">
        <w:t>NG-RAN; Architecture description</w:t>
      </w:r>
    </w:p>
    <w:p w14:paraId="1D76B59F" w14:textId="77777777" w:rsidR="00E10D86" w:rsidRPr="00CD4C7B" w:rsidRDefault="00E10D86" w:rsidP="00C95C04">
      <w:pPr>
        <w:overflowPunct w:val="0"/>
        <w:autoSpaceDE w:val="0"/>
        <w:autoSpaceDN w:val="0"/>
        <w:adjustRightInd w:val="0"/>
        <w:ind w:left="567" w:hanging="567"/>
        <w:textAlignment w:val="baseline"/>
      </w:pPr>
    </w:p>
    <w:p w14:paraId="0BA2BD6A" w14:textId="4085AE08"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BEC9B" w14:textId="77777777" w:rsidR="00925EC3" w:rsidRDefault="00925EC3">
      <w:r>
        <w:separator/>
      </w:r>
    </w:p>
  </w:endnote>
  <w:endnote w:type="continuationSeparator" w:id="0">
    <w:p w14:paraId="49296D9A" w14:textId="77777777" w:rsidR="00925EC3" w:rsidRDefault="0092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A838E" w14:textId="77777777" w:rsidR="00925EC3" w:rsidRDefault="00925EC3">
      <w:r>
        <w:separator/>
      </w:r>
    </w:p>
  </w:footnote>
  <w:footnote w:type="continuationSeparator" w:id="0">
    <w:p w14:paraId="03701D38" w14:textId="77777777" w:rsidR="00925EC3" w:rsidRDefault="00925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9"/>
  </w:num>
  <w:num w:numId="6">
    <w:abstractNumId w:val="6"/>
  </w:num>
  <w:num w:numId="7">
    <w:abstractNumId w:val="13"/>
  </w:num>
  <w:num w:numId="8">
    <w:abstractNumId w:val="14"/>
  </w:num>
  <w:num w:numId="9">
    <w:abstractNumId w:val="10"/>
  </w:num>
  <w:num w:numId="10">
    <w:abstractNumId w:val="12"/>
  </w:num>
  <w:num w:numId="11">
    <w:abstractNumId w:val="4"/>
  </w:num>
  <w:num w:numId="12">
    <w:abstractNumId w:val="16"/>
  </w:num>
  <w:num w:numId="13">
    <w:abstractNumId w:val="17"/>
  </w:num>
  <w:num w:numId="14">
    <w:abstractNumId w:val="2"/>
  </w:num>
  <w:num w:numId="15">
    <w:abstractNumId w:val="9"/>
  </w:num>
  <w:num w:numId="16">
    <w:abstractNumId w:val="18"/>
  </w:num>
  <w:num w:numId="17">
    <w:abstractNumId w:val="11"/>
  </w:num>
  <w:num w:numId="18">
    <w:abstractNumId w:val="3"/>
  </w:num>
  <w:num w:numId="19">
    <w:abstractNumId w:val="7"/>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3397"/>
    <w:rsid w:val="000342C7"/>
    <w:rsid w:val="00040095"/>
    <w:rsid w:val="00044662"/>
    <w:rsid w:val="00051A1C"/>
    <w:rsid w:val="0005563E"/>
    <w:rsid w:val="00073043"/>
    <w:rsid w:val="00076AEC"/>
    <w:rsid w:val="00080512"/>
    <w:rsid w:val="00083F0D"/>
    <w:rsid w:val="00086671"/>
    <w:rsid w:val="000B7BCF"/>
    <w:rsid w:val="000C1506"/>
    <w:rsid w:val="000C556D"/>
    <w:rsid w:val="000D376D"/>
    <w:rsid w:val="000D58AB"/>
    <w:rsid w:val="000E1E22"/>
    <w:rsid w:val="0010667C"/>
    <w:rsid w:val="00107326"/>
    <w:rsid w:val="001075B7"/>
    <w:rsid w:val="001265F8"/>
    <w:rsid w:val="001370F2"/>
    <w:rsid w:val="001549DD"/>
    <w:rsid w:val="00161C15"/>
    <w:rsid w:val="00190CAC"/>
    <w:rsid w:val="00192F70"/>
    <w:rsid w:val="00194CD0"/>
    <w:rsid w:val="001B03A2"/>
    <w:rsid w:val="001B08B3"/>
    <w:rsid w:val="001C4281"/>
    <w:rsid w:val="001D0D3F"/>
    <w:rsid w:val="001E39D1"/>
    <w:rsid w:val="001E6294"/>
    <w:rsid w:val="001F168B"/>
    <w:rsid w:val="001F70B7"/>
    <w:rsid w:val="00225F6D"/>
    <w:rsid w:val="0022606D"/>
    <w:rsid w:val="00230143"/>
    <w:rsid w:val="002305DD"/>
    <w:rsid w:val="00243BC7"/>
    <w:rsid w:val="00250D89"/>
    <w:rsid w:val="002546FB"/>
    <w:rsid w:val="002623FC"/>
    <w:rsid w:val="002724FC"/>
    <w:rsid w:val="002747EC"/>
    <w:rsid w:val="002855BF"/>
    <w:rsid w:val="002868BC"/>
    <w:rsid w:val="002953B2"/>
    <w:rsid w:val="002A0B34"/>
    <w:rsid w:val="002C3877"/>
    <w:rsid w:val="002D12AE"/>
    <w:rsid w:val="002E1692"/>
    <w:rsid w:val="002F0D22"/>
    <w:rsid w:val="002F5942"/>
    <w:rsid w:val="00303236"/>
    <w:rsid w:val="0030392F"/>
    <w:rsid w:val="003172DC"/>
    <w:rsid w:val="003238E8"/>
    <w:rsid w:val="00326069"/>
    <w:rsid w:val="003409F2"/>
    <w:rsid w:val="00342065"/>
    <w:rsid w:val="003454FC"/>
    <w:rsid w:val="00353B12"/>
    <w:rsid w:val="0035462D"/>
    <w:rsid w:val="00363177"/>
    <w:rsid w:val="003702F7"/>
    <w:rsid w:val="003717A7"/>
    <w:rsid w:val="00385F81"/>
    <w:rsid w:val="003B3FB3"/>
    <w:rsid w:val="003B5FD6"/>
    <w:rsid w:val="003C4E37"/>
    <w:rsid w:val="003E1194"/>
    <w:rsid w:val="003E16BE"/>
    <w:rsid w:val="003E7223"/>
    <w:rsid w:val="00401855"/>
    <w:rsid w:val="00406760"/>
    <w:rsid w:val="00455983"/>
    <w:rsid w:val="00464695"/>
    <w:rsid w:val="00480E3E"/>
    <w:rsid w:val="00484182"/>
    <w:rsid w:val="004B3B48"/>
    <w:rsid w:val="004C53DC"/>
    <w:rsid w:val="004C5539"/>
    <w:rsid w:val="004D014F"/>
    <w:rsid w:val="004D3578"/>
    <w:rsid w:val="004D380D"/>
    <w:rsid w:val="004D3F58"/>
    <w:rsid w:val="004D5E47"/>
    <w:rsid w:val="004E0173"/>
    <w:rsid w:val="004E213A"/>
    <w:rsid w:val="004E21FC"/>
    <w:rsid w:val="004E6C01"/>
    <w:rsid w:val="004F02D5"/>
    <w:rsid w:val="00503171"/>
    <w:rsid w:val="00507FC6"/>
    <w:rsid w:val="00513594"/>
    <w:rsid w:val="005153FE"/>
    <w:rsid w:val="005240A4"/>
    <w:rsid w:val="00531884"/>
    <w:rsid w:val="00531C12"/>
    <w:rsid w:val="00534DA0"/>
    <w:rsid w:val="00540B31"/>
    <w:rsid w:val="00543E6C"/>
    <w:rsid w:val="00544635"/>
    <w:rsid w:val="005626DD"/>
    <w:rsid w:val="00565087"/>
    <w:rsid w:val="0056573F"/>
    <w:rsid w:val="00565BE9"/>
    <w:rsid w:val="00571CE2"/>
    <w:rsid w:val="0057579F"/>
    <w:rsid w:val="00587958"/>
    <w:rsid w:val="005A4971"/>
    <w:rsid w:val="005B1232"/>
    <w:rsid w:val="005B2EEF"/>
    <w:rsid w:val="005D0F3B"/>
    <w:rsid w:val="005D4274"/>
    <w:rsid w:val="005E3C56"/>
    <w:rsid w:val="005F1BD4"/>
    <w:rsid w:val="00605E3E"/>
    <w:rsid w:val="00606DA9"/>
    <w:rsid w:val="00611566"/>
    <w:rsid w:val="00611D47"/>
    <w:rsid w:val="006225FD"/>
    <w:rsid w:val="006327AD"/>
    <w:rsid w:val="006538D4"/>
    <w:rsid w:val="00656E1E"/>
    <w:rsid w:val="006604E4"/>
    <w:rsid w:val="00663FDF"/>
    <w:rsid w:val="0067782C"/>
    <w:rsid w:val="006B36A5"/>
    <w:rsid w:val="006B3E5D"/>
    <w:rsid w:val="006C54B5"/>
    <w:rsid w:val="006D1E24"/>
    <w:rsid w:val="00702BDF"/>
    <w:rsid w:val="00703340"/>
    <w:rsid w:val="00734A5B"/>
    <w:rsid w:val="00741EC5"/>
    <w:rsid w:val="00743525"/>
    <w:rsid w:val="00744E76"/>
    <w:rsid w:val="007476DB"/>
    <w:rsid w:val="00752C31"/>
    <w:rsid w:val="00754BC0"/>
    <w:rsid w:val="00756B13"/>
    <w:rsid w:val="00757D40"/>
    <w:rsid w:val="00767CDA"/>
    <w:rsid w:val="0077054F"/>
    <w:rsid w:val="00774846"/>
    <w:rsid w:val="00781F0F"/>
    <w:rsid w:val="0078727C"/>
    <w:rsid w:val="00797225"/>
    <w:rsid w:val="00797D4B"/>
    <w:rsid w:val="007C095F"/>
    <w:rsid w:val="007C36EF"/>
    <w:rsid w:val="007D5902"/>
    <w:rsid w:val="007E4F76"/>
    <w:rsid w:val="007F2676"/>
    <w:rsid w:val="007F3F5F"/>
    <w:rsid w:val="00800963"/>
    <w:rsid w:val="00802106"/>
    <w:rsid w:val="008028A4"/>
    <w:rsid w:val="00806520"/>
    <w:rsid w:val="008223CA"/>
    <w:rsid w:val="00830106"/>
    <w:rsid w:val="00840916"/>
    <w:rsid w:val="008415DA"/>
    <w:rsid w:val="00853EDD"/>
    <w:rsid w:val="008604EE"/>
    <w:rsid w:val="00865B05"/>
    <w:rsid w:val="0087030A"/>
    <w:rsid w:val="0087401D"/>
    <w:rsid w:val="008768CA"/>
    <w:rsid w:val="00880559"/>
    <w:rsid w:val="00882197"/>
    <w:rsid w:val="008975A9"/>
    <w:rsid w:val="008A79DE"/>
    <w:rsid w:val="008C2835"/>
    <w:rsid w:val="008C490B"/>
    <w:rsid w:val="0090271F"/>
    <w:rsid w:val="00903D8C"/>
    <w:rsid w:val="00904D26"/>
    <w:rsid w:val="00917051"/>
    <w:rsid w:val="009248F3"/>
    <w:rsid w:val="00925EC3"/>
    <w:rsid w:val="009321BB"/>
    <w:rsid w:val="00942EC2"/>
    <w:rsid w:val="009518E0"/>
    <w:rsid w:val="00952D8F"/>
    <w:rsid w:val="00954BCB"/>
    <w:rsid w:val="00961B32"/>
    <w:rsid w:val="00971683"/>
    <w:rsid w:val="00972FD7"/>
    <w:rsid w:val="00974BB0"/>
    <w:rsid w:val="00981A36"/>
    <w:rsid w:val="009A6E4F"/>
    <w:rsid w:val="009B4F59"/>
    <w:rsid w:val="009C4D5C"/>
    <w:rsid w:val="009D0A28"/>
    <w:rsid w:val="009F3B54"/>
    <w:rsid w:val="009F75AB"/>
    <w:rsid w:val="009F7E6E"/>
    <w:rsid w:val="00A10F02"/>
    <w:rsid w:val="00A2199E"/>
    <w:rsid w:val="00A31288"/>
    <w:rsid w:val="00A40F9F"/>
    <w:rsid w:val="00A53724"/>
    <w:rsid w:val="00A61FEF"/>
    <w:rsid w:val="00A64C87"/>
    <w:rsid w:val="00A82346"/>
    <w:rsid w:val="00A8361A"/>
    <w:rsid w:val="00A8557C"/>
    <w:rsid w:val="00A9671C"/>
    <w:rsid w:val="00AB6AAB"/>
    <w:rsid w:val="00AC3663"/>
    <w:rsid w:val="00AD4BCF"/>
    <w:rsid w:val="00AF2519"/>
    <w:rsid w:val="00AF4A8E"/>
    <w:rsid w:val="00AF78D5"/>
    <w:rsid w:val="00B1063A"/>
    <w:rsid w:val="00B15449"/>
    <w:rsid w:val="00B2403B"/>
    <w:rsid w:val="00B37198"/>
    <w:rsid w:val="00B41851"/>
    <w:rsid w:val="00B502AA"/>
    <w:rsid w:val="00B503D9"/>
    <w:rsid w:val="00B53E35"/>
    <w:rsid w:val="00B550AA"/>
    <w:rsid w:val="00B6745D"/>
    <w:rsid w:val="00B8627F"/>
    <w:rsid w:val="00B9781E"/>
    <w:rsid w:val="00BA14CB"/>
    <w:rsid w:val="00BA6755"/>
    <w:rsid w:val="00BD631D"/>
    <w:rsid w:val="00BF768D"/>
    <w:rsid w:val="00BF79F1"/>
    <w:rsid w:val="00C02916"/>
    <w:rsid w:val="00C03035"/>
    <w:rsid w:val="00C275BC"/>
    <w:rsid w:val="00C33079"/>
    <w:rsid w:val="00C365F1"/>
    <w:rsid w:val="00C43B31"/>
    <w:rsid w:val="00C43EAD"/>
    <w:rsid w:val="00C4534B"/>
    <w:rsid w:val="00C50536"/>
    <w:rsid w:val="00C55EB7"/>
    <w:rsid w:val="00C56954"/>
    <w:rsid w:val="00C671C2"/>
    <w:rsid w:val="00C866E9"/>
    <w:rsid w:val="00C95C04"/>
    <w:rsid w:val="00CA276C"/>
    <w:rsid w:val="00CA3D0C"/>
    <w:rsid w:val="00CB6651"/>
    <w:rsid w:val="00CB6887"/>
    <w:rsid w:val="00CC5CB4"/>
    <w:rsid w:val="00CC64B4"/>
    <w:rsid w:val="00CD4C7B"/>
    <w:rsid w:val="00D22038"/>
    <w:rsid w:val="00D23014"/>
    <w:rsid w:val="00D407F9"/>
    <w:rsid w:val="00D45717"/>
    <w:rsid w:val="00D738D6"/>
    <w:rsid w:val="00D764AE"/>
    <w:rsid w:val="00D80795"/>
    <w:rsid w:val="00D87E00"/>
    <w:rsid w:val="00D908B4"/>
    <w:rsid w:val="00D90D48"/>
    <w:rsid w:val="00D9134D"/>
    <w:rsid w:val="00D97CD9"/>
    <w:rsid w:val="00DA5329"/>
    <w:rsid w:val="00DA7A03"/>
    <w:rsid w:val="00DB1818"/>
    <w:rsid w:val="00DC1445"/>
    <w:rsid w:val="00DC309B"/>
    <w:rsid w:val="00DC4DA2"/>
    <w:rsid w:val="00DC6AFC"/>
    <w:rsid w:val="00DD2706"/>
    <w:rsid w:val="00DD41D3"/>
    <w:rsid w:val="00DE1406"/>
    <w:rsid w:val="00E07838"/>
    <w:rsid w:val="00E10D86"/>
    <w:rsid w:val="00E13EB0"/>
    <w:rsid w:val="00E16269"/>
    <w:rsid w:val="00E305A4"/>
    <w:rsid w:val="00E3118D"/>
    <w:rsid w:val="00E31392"/>
    <w:rsid w:val="00E340BC"/>
    <w:rsid w:val="00E51F8B"/>
    <w:rsid w:val="00E62835"/>
    <w:rsid w:val="00E77645"/>
    <w:rsid w:val="00E852FF"/>
    <w:rsid w:val="00E90ABE"/>
    <w:rsid w:val="00EA1D56"/>
    <w:rsid w:val="00EA22F8"/>
    <w:rsid w:val="00EC4A25"/>
    <w:rsid w:val="00ED0D91"/>
    <w:rsid w:val="00ED1751"/>
    <w:rsid w:val="00ED7F72"/>
    <w:rsid w:val="00EE022B"/>
    <w:rsid w:val="00EE0A1E"/>
    <w:rsid w:val="00EF2DFA"/>
    <w:rsid w:val="00EF414A"/>
    <w:rsid w:val="00EF47CB"/>
    <w:rsid w:val="00F025A2"/>
    <w:rsid w:val="00F2026E"/>
    <w:rsid w:val="00F2210A"/>
    <w:rsid w:val="00F37743"/>
    <w:rsid w:val="00F52DB4"/>
    <w:rsid w:val="00F54114"/>
    <w:rsid w:val="00F54A3D"/>
    <w:rsid w:val="00F653B8"/>
    <w:rsid w:val="00F76F8F"/>
    <w:rsid w:val="00FA1266"/>
    <w:rsid w:val="00FB2BEA"/>
    <w:rsid w:val="00FB6608"/>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b">
    <w:name w:val="caption"/>
    <w:basedOn w:val="a"/>
    <w:next w:val="a"/>
    <w:unhideWhenUsed/>
    <w:qFormat/>
    <w:rsid w:val="00E13EB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F618E-4CAF-4B70-9F52-EFAB9894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1245</Words>
  <Characters>7099</Characters>
  <Application>Microsoft Office Word</Application>
  <DocSecurity>0</DocSecurity>
  <Lines>59</Lines>
  <Paragraphs>16</Paragraphs>
  <ScaleCrop>false</ScaleCrop>
  <Company/>
  <LinksUpToDate>false</LinksUpToDate>
  <CharactersWithSpaces>8328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2023-04-07T04:27:00Z</dcterms:created>
  <dcterms:modified xsi:type="dcterms:W3CDTF">2023-04-07T06:54:00Z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